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6" w:type="dxa"/>
        <w:tblInd w:w="-142" w:type="dxa"/>
        <w:tblLayout w:type="fixed"/>
        <w:tblCellMar>
          <w:left w:w="0" w:type="dxa"/>
          <w:right w:w="0" w:type="dxa"/>
        </w:tblCellMar>
        <w:tblLook w:val="01E0" w:firstRow="1" w:lastRow="1" w:firstColumn="1" w:lastColumn="1" w:noHBand="0" w:noVBand="0"/>
      </w:tblPr>
      <w:tblGrid>
        <w:gridCol w:w="3720"/>
        <w:gridCol w:w="5716"/>
      </w:tblGrid>
      <w:tr>
        <w:trPr>
          <w:trHeight w:val="983"/>
        </w:trPr>
        <w:tc>
          <w:tcPr>
            <w:tcW w:w="3720" w:type="dxa"/>
          </w:tcPr>
          <w:p>
            <w:pPr>
              <w:pStyle w:val="TableParagraph"/>
              <w:spacing w:line="287" w:lineRule="exact"/>
              <w:ind w:right="99"/>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pPr>
              <w:pStyle w:val="TableParagraph"/>
              <w:spacing w:before="1" w:after="65"/>
              <w:ind w:right="102"/>
              <w:jc w:val="center"/>
              <w:rPr>
                <w:b/>
                <w:sz w:val="26"/>
              </w:rPr>
            </w:pPr>
            <w:r>
              <w:rPr>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719455</wp:posOffset>
                      </wp:positionH>
                      <wp:positionV relativeFrom="paragraph">
                        <wp:posOffset>225729</wp:posOffset>
                      </wp:positionV>
                      <wp:extent cx="795020" cy="0"/>
                      <wp:effectExtent l="0" t="0" r="0" b="0"/>
                      <wp:wrapNone/>
                      <wp:docPr id="67172317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9EA8D2"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17.75pt" to="11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" strokecolor="black [3040]">
                      <o:lock v:ext="edit" shapetype="f"/>
                    </v:line>
                  </w:pict>
                </mc:Fallback>
              </mc:AlternateContent>
            </w:r>
            <w:r>
              <w:rPr>
                <w:b/>
                <w:sz w:val="26"/>
              </w:rPr>
              <w:t>THÀNH</w:t>
            </w:r>
            <w:r>
              <w:rPr>
                <w:b/>
                <w:spacing w:val="-7"/>
                <w:sz w:val="26"/>
              </w:rPr>
              <w:t xml:space="preserve"> </w:t>
            </w:r>
            <w:r>
              <w:rPr>
                <w:b/>
                <w:sz w:val="26"/>
              </w:rPr>
              <w:t>PHỐ</w:t>
            </w:r>
            <w:r>
              <w:rPr>
                <w:b/>
                <w:spacing w:val="-9"/>
                <w:sz w:val="26"/>
              </w:rPr>
              <w:t xml:space="preserve"> </w:t>
            </w:r>
            <w:r>
              <w:rPr>
                <w:b/>
                <w:sz w:val="26"/>
              </w:rPr>
              <w:t>ĐIỆN</w:t>
            </w:r>
            <w:r>
              <w:rPr>
                <w:b/>
                <w:spacing w:val="-7"/>
                <w:sz w:val="26"/>
              </w:rPr>
              <w:t xml:space="preserve"> </w:t>
            </w:r>
            <w:r>
              <w:rPr>
                <w:b/>
                <w:sz w:val="26"/>
              </w:rPr>
              <w:t>BIÊN</w:t>
            </w:r>
            <w:r>
              <w:rPr>
                <w:b/>
                <w:spacing w:val="-9"/>
                <w:sz w:val="26"/>
              </w:rPr>
              <w:t xml:space="preserve"> </w:t>
            </w:r>
            <w:r>
              <w:rPr>
                <w:b/>
                <w:spacing w:val="-5"/>
                <w:sz w:val="26"/>
              </w:rPr>
              <w:t>PHỦ</w:t>
            </w:r>
          </w:p>
          <w:p>
            <w:pPr>
              <w:pStyle w:val="TableParagraph"/>
              <w:tabs>
                <w:tab w:val="left" w:pos="732"/>
              </w:tabs>
              <w:spacing w:before="200"/>
              <w:ind w:right="96"/>
              <w:jc w:val="center"/>
              <w:rPr>
                <w:sz w:val="26"/>
                <w:szCs w:val="26"/>
              </w:rPr>
            </w:pPr>
            <w:r>
              <w:rPr>
                <w:spacing w:val="-5"/>
                <w:sz w:val="26"/>
                <w:szCs w:val="26"/>
              </w:rPr>
              <w:t>Số:</w:t>
            </w:r>
            <w:r>
              <w:rPr>
                <w:spacing w:val="-5"/>
                <w:sz w:val="26"/>
                <w:szCs w:val="26"/>
                <w:lang w:val="en-US"/>
              </w:rPr>
              <w:t xml:space="preserve">            </w:t>
            </w:r>
            <w:r>
              <w:rPr>
                <w:sz w:val="26"/>
                <w:szCs w:val="26"/>
              </w:rPr>
              <w:t>/BC-</w:t>
            </w:r>
            <w:r>
              <w:rPr>
                <w:spacing w:val="-4"/>
                <w:sz w:val="26"/>
                <w:szCs w:val="26"/>
              </w:rPr>
              <w:t>UBND</w:t>
            </w:r>
          </w:p>
        </w:tc>
        <w:tc>
          <w:tcPr>
            <w:tcW w:w="5716" w:type="dxa"/>
          </w:tcPr>
          <w:p>
            <w:pPr>
              <w:pStyle w:val="TableParagraph"/>
              <w:spacing w:line="287" w:lineRule="exact"/>
              <w:ind w:left="109" w:right="5"/>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after="60" w:line="322" w:lineRule="exact"/>
              <w:ind w:left="109" w:right="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pPr>
              <w:pStyle w:val="TableParagraph"/>
              <w:spacing w:line="20" w:lineRule="exact"/>
              <w:ind w:left="1229"/>
              <w:rPr>
                <w:sz w:val="2"/>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763270</wp:posOffset>
                      </wp:positionH>
                      <wp:positionV relativeFrom="paragraph">
                        <wp:posOffset>7619</wp:posOffset>
                      </wp:positionV>
                      <wp:extent cx="2138680" cy="0"/>
                      <wp:effectExtent l="0" t="0" r="0" b="0"/>
                      <wp:wrapNone/>
                      <wp:docPr id="164508436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EF789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6pt" to="2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" strokecolor="black [3040]">
                      <o:lock v:ext="edit" shapetype="f"/>
                    </v:line>
                  </w:pict>
                </mc:Fallback>
              </mc:AlternateContent>
            </w:r>
          </w:p>
          <w:p>
            <w:pPr>
              <w:pStyle w:val="TableParagraph"/>
              <w:spacing w:before="160"/>
              <w:ind w:left="108"/>
              <w:jc w:val="center"/>
              <w:rPr>
                <w:i/>
                <w:sz w:val="28"/>
              </w:rPr>
            </w:pPr>
            <w:r>
              <w:rPr>
                <w:i/>
                <w:sz w:val="28"/>
              </w:rPr>
              <w:t>Điện</w:t>
            </w:r>
            <w:r>
              <w:rPr>
                <w:i/>
                <w:spacing w:val="-3"/>
                <w:sz w:val="28"/>
              </w:rPr>
              <w:t xml:space="preserve"> </w:t>
            </w:r>
            <w:r>
              <w:rPr>
                <w:i/>
                <w:sz w:val="28"/>
              </w:rPr>
              <w:t>Biên</w:t>
            </w:r>
            <w:r>
              <w:rPr>
                <w:i/>
                <w:spacing w:val="-1"/>
                <w:sz w:val="28"/>
              </w:rPr>
              <w:t xml:space="preserve"> </w:t>
            </w:r>
            <w:r>
              <w:rPr>
                <w:i/>
                <w:sz w:val="28"/>
              </w:rPr>
              <w:t>Phủ,</w:t>
            </w:r>
            <w:r>
              <w:rPr>
                <w:i/>
                <w:spacing w:val="-4"/>
                <w:sz w:val="28"/>
              </w:rPr>
              <w:t xml:space="preserve"> </w:t>
            </w:r>
            <w:r>
              <w:rPr>
                <w:i/>
                <w:sz w:val="28"/>
              </w:rPr>
              <w:t>ngày     tháng</w:t>
            </w:r>
            <w:r>
              <w:rPr>
                <w:i/>
                <w:spacing w:val="-3"/>
                <w:sz w:val="28"/>
              </w:rPr>
              <w:t xml:space="preserve"> </w:t>
            </w:r>
            <w:r>
              <w:rPr>
                <w:i/>
                <w:spacing w:val="-3"/>
                <w:sz w:val="28"/>
                <w:lang w:val="en-US"/>
              </w:rPr>
              <w:t>11</w:t>
            </w:r>
            <w:r>
              <w:rPr>
                <w:i/>
                <w:sz w:val="28"/>
              </w:rPr>
              <w:t xml:space="preserve"> năm</w:t>
            </w:r>
            <w:r>
              <w:rPr>
                <w:i/>
                <w:spacing w:val="-3"/>
                <w:sz w:val="28"/>
              </w:rPr>
              <w:t xml:space="preserve"> </w:t>
            </w:r>
            <w:r>
              <w:rPr>
                <w:i/>
                <w:spacing w:val="-4"/>
                <w:sz w:val="28"/>
              </w:rPr>
              <w:t>2024</w:t>
            </w:r>
          </w:p>
        </w:tc>
      </w:tr>
    </w:tbl>
    <w:p>
      <w:pPr>
        <w:pStyle w:val="Heading1"/>
        <w:spacing w:before="1" w:line="322" w:lineRule="exact"/>
        <w:ind w:left="148" w:firstLine="0"/>
        <w:jc w:val="left"/>
        <w:rPr>
          <w:lang w:val="en-US"/>
        </w:rPr>
      </w:pPr>
      <w:r>
        <w:rPr>
          <w:lang w:val="en-US"/>
        </w:rPr>
        <w:t xml:space="preserve">              (dự thảo)</w:t>
      </w:r>
    </w:p>
    <w:p>
      <w:pPr>
        <w:pStyle w:val="Heading1"/>
        <w:spacing w:before="0"/>
        <w:ind w:left="148" w:firstLine="0"/>
        <w:jc w:val="center"/>
      </w:pPr>
    </w:p>
    <w:p>
      <w:pPr>
        <w:pStyle w:val="Heading1"/>
        <w:spacing w:before="0"/>
        <w:ind w:left="148" w:firstLine="0"/>
        <w:jc w:val="center"/>
      </w:pPr>
      <w:r>
        <w:t>BÁO</w:t>
      </w:r>
      <w:r>
        <w:rPr>
          <w:spacing w:val="-2"/>
        </w:rPr>
        <w:t xml:space="preserve"> </w:t>
      </w:r>
      <w:r>
        <w:rPr>
          <w:spacing w:val="-5"/>
        </w:rPr>
        <w:t>CÁO</w:t>
      </w:r>
    </w:p>
    <w:p>
      <w:pPr>
        <w:jc w:val="center"/>
        <w:rPr>
          <w:b/>
          <w:bCs/>
          <w:sz w:val="28"/>
          <w:szCs w:val="28"/>
        </w:rPr>
      </w:pPr>
      <w:bookmarkStart w:id="0" w:name="_Hlk145605415"/>
      <w:bookmarkStart w:id="1" w:name="_Hlk168467210"/>
      <w:r>
        <w:rPr>
          <w:b/>
          <w:bCs/>
          <w:sz w:val="28"/>
          <w:szCs w:val="28"/>
        </w:rPr>
        <w:t>Kết quả thực hiện kế hoạch đầu tư công năm 2024 và dự kiến kế hoạch đầu tư công năm 2025, thành phố Điện Biên Phủ</w:t>
      </w:r>
    </w:p>
    <w:bookmarkEnd w:id="0"/>
    <w:p>
      <w:pPr>
        <w:tabs>
          <w:tab w:val="left" w:pos="8628"/>
        </w:tabs>
        <w:ind w:left="567" w:right="3"/>
        <w:jc w:val="center"/>
        <w:rPr>
          <w:rFonts w:asciiTheme="minorHAnsi" w:hAnsiTheme="minorHAnsi"/>
          <w:b/>
          <w:bCs/>
          <w:spacing w:val="6"/>
          <w:sz w:val="28"/>
          <w:szCs w:val="28"/>
        </w:rPr>
      </w:pPr>
      <w:r>
        <w:rPr>
          <w:rFonts w:asciiTheme="minorHAnsi" w:hAnsiTheme="minorHAnsi"/>
          <w:b/>
          <w:bCs/>
          <w:noProof/>
          <w:spacing w:val="6"/>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2012619</wp:posOffset>
                </wp:positionH>
                <wp:positionV relativeFrom="paragraph">
                  <wp:posOffset>62230</wp:posOffset>
                </wp:positionV>
                <wp:extent cx="1852654" cy="0"/>
                <wp:effectExtent l="0" t="0" r="0" b="0"/>
                <wp:wrapNone/>
                <wp:docPr id="189722530" name="Straight Connector 3"/>
                <wp:cNvGraphicFramePr/>
                <a:graphic xmlns:a="http://schemas.openxmlformats.org/drawingml/2006/main">
                  <a:graphicData uri="http://schemas.microsoft.com/office/word/2010/wordprocessingShape">
                    <wps:wsp>
                      <wps:cNvCnPr/>
                      <wps:spPr>
                        <a:xfrm>
                          <a:off x="0" y="0"/>
                          <a:ext cx="1852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2F030A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8.45pt,4.9pt" to="304.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dmQEAAIgDAAAOAAAAZHJzL2Uyb0RvYy54bWysU9uO0zAQfUfiHyy/06QV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" strokecolor="black [3040]"/>
            </w:pict>
          </mc:Fallback>
        </mc:AlternateContent>
      </w:r>
    </w:p>
    <w:bookmarkEnd w:id="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5877"/>
      </w:tblGrid>
      <w:tr>
        <w:trPr>
          <w:jc w:val="center"/>
        </w:trPr>
        <w:tc>
          <w:tcPr>
            <w:tcW w:w="1353" w:type="dxa"/>
          </w:tcPr>
          <w:p>
            <w:pPr>
              <w:rPr>
                <w:sz w:val="28"/>
              </w:rPr>
            </w:pPr>
          </w:p>
        </w:tc>
        <w:tc>
          <w:tcPr>
            <w:tcW w:w="5877" w:type="dxa"/>
          </w:tcPr>
          <w:p>
            <w:pPr>
              <w:rPr>
                <w:sz w:val="28"/>
                <w:szCs w:val="28"/>
              </w:rPr>
            </w:pPr>
          </w:p>
        </w:tc>
      </w:tr>
    </w:tbl>
    <w:p>
      <w:pPr>
        <w:tabs>
          <w:tab w:val="left" w:pos="0"/>
          <w:tab w:val="left" w:pos="709"/>
          <w:tab w:val="left" w:pos="851"/>
        </w:tabs>
        <w:spacing w:before="120" w:after="120" w:line="252" w:lineRule="auto"/>
        <w:ind w:firstLine="720"/>
        <w:jc w:val="both"/>
        <w:rPr>
          <w:rFonts w:eastAsia="Calibri"/>
          <w:sz w:val="28"/>
          <w:szCs w:val="28"/>
        </w:rPr>
      </w:pPr>
      <w:r>
        <w:rPr>
          <w:rFonts w:eastAsia="Calibri"/>
          <w:sz w:val="28"/>
          <w:szCs w:val="28"/>
        </w:rPr>
        <w:t xml:space="preserve">Căn cứ Luật Đầu tư công ngày 13/6/2019; </w:t>
      </w:r>
    </w:p>
    <w:p>
      <w:pPr>
        <w:tabs>
          <w:tab w:val="left" w:pos="0"/>
          <w:tab w:val="left" w:pos="709"/>
          <w:tab w:val="left" w:pos="851"/>
        </w:tabs>
        <w:spacing w:before="120" w:after="120" w:line="252" w:lineRule="auto"/>
        <w:ind w:firstLine="720"/>
        <w:jc w:val="both"/>
        <w:rPr>
          <w:rFonts w:eastAsia="Calibri"/>
          <w:sz w:val="28"/>
          <w:szCs w:val="28"/>
        </w:rPr>
      </w:pPr>
      <w:r>
        <w:rPr>
          <w:rFonts w:eastAsia="Calibri"/>
          <w:sz w:val="28"/>
          <w:szCs w:val="28"/>
        </w:rPr>
        <w:t>Căn cứ Nghị định 40/2020/NĐ-CP ngày 06 tháng 4 năm 2020 của Chính phủ về việc hướng dẫn thi hành một số điều của Luật đầu tư công;</w:t>
      </w:r>
    </w:p>
    <w:p>
      <w:pPr>
        <w:tabs>
          <w:tab w:val="left" w:pos="0"/>
          <w:tab w:val="left" w:pos="709"/>
          <w:tab w:val="left" w:pos="851"/>
        </w:tabs>
        <w:spacing w:before="120" w:after="120" w:line="252" w:lineRule="auto"/>
        <w:ind w:firstLine="720"/>
        <w:jc w:val="both"/>
        <w:rPr>
          <w:rFonts w:eastAsia="Calibri"/>
          <w:sz w:val="28"/>
          <w:szCs w:val="28"/>
        </w:rPr>
      </w:pPr>
      <w:r>
        <w:rPr>
          <w:rFonts w:eastAsia="Calibri"/>
          <w:sz w:val="28"/>
          <w:szCs w:val="28"/>
        </w:rPr>
        <w:t>Căn cứ Nghị quyết số 26/2020/NQ-HĐND ngày 10/11/2020 của HĐND tỉnh về việc ban hành nguyên tắc, tiêu chí và định mức phân bổ vốn đầu tư công nguồn ngân sách địa phương giai đoạn 2021 – 2025;</w:t>
      </w:r>
    </w:p>
    <w:p>
      <w:pPr>
        <w:tabs>
          <w:tab w:val="left" w:pos="0"/>
          <w:tab w:val="left" w:pos="709"/>
          <w:tab w:val="left" w:pos="851"/>
        </w:tabs>
        <w:spacing w:before="120" w:after="120" w:line="252" w:lineRule="auto"/>
        <w:ind w:firstLine="720"/>
        <w:jc w:val="both"/>
        <w:rPr>
          <w:rFonts w:eastAsia="Calibri"/>
          <w:sz w:val="28"/>
          <w:szCs w:val="28"/>
        </w:rPr>
      </w:pPr>
      <w:r>
        <w:rPr>
          <w:rFonts w:eastAsia="Calibri"/>
          <w:sz w:val="28"/>
          <w:szCs w:val="28"/>
        </w:rPr>
        <w:t>Căn cứ Nghị quyết số 27/NQ-HĐND ngày 15/12/2022 của Hội đồng nhân dân thành phố về điều chỉnh, bổ sung kế hoạch đầu tư công trung hạn giai đoạn 2021-2025 và phê duyệt kế hoạch đầu tư công vốn ngân sách nhà nước năm 2023, thành phố Điện Biên Phủ; Nghị quyết số 05/NQ-HĐND ngày 29/3/2023 của Hội đồng nhân dân thành phố về phân bổ chi tiết kế hoạch đầu tư công vốn ngân sách nhà nước năm 2023, thành phố Điện Biên Phủ (Đợt</w:t>
      </w:r>
      <w:r>
        <w:rPr>
          <w:rFonts w:eastAsia="Calibri"/>
          <w:sz w:val="28"/>
          <w:szCs w:val="28"/>
          <w:lang w:val="en-US"/>
        </w:rPr>
        <w:t xml:space="preserve"> </w:t>
      </w:r>
      <w:r>
        <w:rPr>
          <w:rFonts w:eastAsia="Calibri"/>
          <w:sz w:val="28"/>
          <w:szCs w:val="28"/>
        </w:rPr>
        <w:t>2); Nghị quyết số 09/2024/NQ-HĐND ngày 12/07/2024 của HĐND thành phố về việc điều chỉnh, bổ sung kế hoạch đầu tư công trung hạn giai đoạn 2021 – 2025 thành phố Điện Biên Phủ;</w:t>
      </w:r>
    </w:p>
    <w:p>
      <w:pPr>
        <w:tabs>
          <w:tab w:val="left" w:pos="0"/>
          <w:tab w:val="left" w:pos="709"/>
          <w:tab w:val="left" w:pos="851"/>
        </w:tabs>
        <w:spacing w:before="120" w:after="120" w:line="252" w:lineRule="auto"/>
        <w:ind w:firstLine="720"/>
        <w:jc w:val="both"/>
        <w:rPr>
          <w:sz w:val="28"/>
          <w:szCs w:val="28"/>
        </w:rPr>
      </w:pPr>
      <w:r>
        <w:rPr>
          <w:sz w:val="28"/>
          <w:szCs w:val="28"/>
        </w:rPr>
        <w:t>Thực hiện Quy chế làm việc của Ban chấp hành Đảng bộ thành phố khóa VII nhiệm kỳ 2020-2025, UBND thành phố báo cáo  Tình hình thực hiện và tiến độ giải ngân kế hoạch đầu tư công năm 2024; dự kiến kế hoạch đầu tư công năm 2025 thành phố Điện Biên Phủ, như sau:</w:t>
      </w:r>
    </w:p>
    <w:p>
      <w:pPr>
        <w:tabs>
          <w:tab w:val="left" w:pos="0"/>
          <w:tab w:val="left" w:pos="709"/>
          <w:tab w:val="left" w:pos="851"/>
        </w:tabs>
        <w:spacing w:before="120" w:after="120" w:line="252" w:lineRule="auto"/>
        <w:ind w:firstLine="720"/>
        <w:jc w:val="both"/>
        <w:rPr>
          <w:rFonts w:ascii="Times New Roman Bold" w:eastAsia="Courier New" w:hAnsi="Times New Roman Bold"/>
          <w:b/>
          <w:sz w:val="28"/>
          <w:szCs w:val="28"/>
          <w:lang w:eastAsia="vi-VN"/>
        </w:rPr>
      </w:pPr>
      <w:r>
        <w:rPr>
          <w:rFonts w:ascii="Times New Roman Bold" w:eastAsia="Courier New" w:hAnsi="Times New Roman Bold"/>
          <w:b/>
          <w:sz w:val="28"/>
          <w:szCs w:val="28"/>
          <w:lang w:eastAsia="vi-VN"/>
        </w:rPr>
        <w:t>I. TÌNH HÌNH THỰC HIỆN KẾ HOẠCH ĐẦU TƯ CÔNG NĂM 2024</w:t>
      </w:r>
    </w:p>
    <w:p>
      <w:pPr>
        <w:tabs>
          <w:tab w:val="left" w:pos="0"/>
          <w:tab w:val="left" w:pos="709"/>
          <w:tab w:val="left" w:pos="851"/>
        </w:tabs>
        <w:spacing w:before="120" w:after="120" w:line="252" w:lineRule="auto"/>
        <w:ind w:firstLine="720"/>
        <w:jc w:val="both"/>
        <w:rPr>
          <w:b/>
          <w:bCs/>
          <w:sz w:val="28"/>
          <w:szCs w:val="28"/>
        </w:rPr>
      </w:pPr>
      <w:r>
        <w:rPr>
          <w:b/>
          <w:bCs/>
          <w:sz w:val="28"/>
          <w:szCs w:val="28"/>
        </w:rPr>
        <w:t>1. Công tác lãnh đạo, chỉ đạo điều hành</w:t>
      </w:r>
    </w:p>
    <w:p>
      <w:pPr>
        <w:tabs>
          <w:tab w:val="left" w:pos="0"/>
          <w:tab w:val="left" w:pos="709"/>
          <w:tab w:val="left" w:pos="851"/>
        </w:tabs>
        <w:autoSpaceDE/>
        <w:autoSpaceDN/>
        <w:spacing w:before="120"/>
        <w:ind w:firstLine="720"/>
        <w:jc w:val="both"/>
        <w:rPr>
          <w:rFonts w:eastAsia="Calibri"/>
          <w:sz w:val="28"/>
          <w:szCs w:val="28"/>
        </w:rPr>
      </w:pPr>
      <w:r>
        <w:rPr>
          <w:rFonts w:eastAsia="Calibri"/>
          <w:sz w:val="28"/>
          <w:szCs w:val="28"/>
        </w:rPr>
        <w:t>Ngay từ đầu năm, UBND thành phố đã tổ chức giao kế hoạch và điều hành ngân sách nhà nước, trong đó có giao kế hoạch vốn đầu tư năm 2024 cho các đơn vị, các chủ đầu tư để triển khai các công trình vốn đầu tư năm 2024. Đồng thời UBND thành phố thực hiện ban hành Văn bản chỉ đạo nhằm tăng cường nâng cao hiệu quả quản lý, sử dụng vốn đầu tư và hoàn thành các chỉ tiêu giải ngân vốn đầu tư năm 2024</w:t>
      </w:r>
      <w:r>
        <w:rPr>
          <w:rStyle w:val="FootnoteReference"/>
          <w:rFonts w:eastAsia="Calibri"/>
          <w:sz w:val="28"/>
          <w:szCs w:val="28"/>
          <w:lang w:val="nl-NL"/>
        </w:rPr>
        <w:footnoteReference w:id="1"/>
      </w:r>
      <w:r>
        <w:rPr>
          <w:rFonts w:eastAsia="Calibri"/>
          <w:sz w:val="28"/>
          <w:szCs w:val="28"/>
        </w:rPr>
        <w:t>.</w:t>
      </w:r>
      <w:bookmarkStart w:id="2" w:name="_Hlk161297197"/>
      <w:r>
        <w:rPr>
          <w:rFonts w:eastAsia="Calibri"/>
          <w:sz w:val="28"/>
          <w:szCs w:val="28"/>
        </w:rPr>
        <w:t xml:space="preserve"> Văn bản triển khai t</w:t>
      </w:r>
      <w:r>
        <w:rPr>
          <w:sz w:val="28"/>
          <w:szCs w:val="28"/>
        </w:rPr>
        <w:t xml:space="preserve">hực hiện </w:t>
      </w:r>
      <w:bookmarkEnd w:id="2"/>
      <w:r>
        <w:rPr>
          <w:sz w:val="28"/>
          <w:szCs w:val="28"/>
        </w:rPr>
        <w:t xml:space="preserve">Chỉ thị số 2384/CT-UBND ngày </w:t>
      </w:r>
      <w:r>
        <w:rPr>
          <w:sz w:val="28"/>
          <w:szCs w:val="28"/>
        </w:rPr>
        <w:lastRenderedPageBreak/>
        <w:t>29/5/2024 của UBND tỉnh Điện Biên về các nhiệm vụ, giải pháp trọng tâm đẩy mạnh giải ngân vốn đầu tư năm 2024 trên địa bàn tỉnh Điện Biên.</w:t>
      </w:r>
    </w:p>
    <w:p>
      <w:pPr>
        <w:tabs>
          <w:tab w:val="left" w:pos="0"/>
          <w:tab w:val="left" w:pos="709"/>
          <w:tab w:val="left" w:pos="851"/>
        </w:tabs>
        <w:autoSpaceDE/>
        <w:autoSpaceDN/>
        <w:spacing w:before="120"/>
        <w:ind w:firstLine="720"/>
        <w:jc w:val="both"/>
        <w:rPr>
          <w:rFonts w:eastAsia="Calibri"/>
          <w:spacing w:val="-8"/>
          <w:sz w:val="28"/>
          <w:szCs w:val="28"/>
        </w:rPr>
      </w:pPr>
      <w:r>
        <w:rPr>
          <w:rFonts w:eastAsia="Calibri"/>
          <w:spacing w:val="-8"/>
          <w:sz w:val="28"/>
          <w:szCs w:val="28"/>
        </w:rPr>
        <w:t>Thường xuyên lãnh đạo, chỉ đạo các phòng, ban, đơn vị thuộc thành phố, UBND các phường xã nghiên cứu Luật Đầu tư công, Luật Xây dựng sửa đổi, Luật Đấu thầu và các nghị định, nghị quyết của Chính phủ, Thông tư của Bộ Xây dựng để triển khai thực hiện theo quy định. Định kỳ hàng tháng tổ chức họp nghe các đơn vị, các chủ đầu tư báo cáo các vướng mắc, khó khăn, đưa ra các giải pháp tháo gỡ; đôn đốc các chủ đầu tư đẩy nhanh tiến độ thi công và giải ngân vốn đầu tư.</w:t>
      </w:r>
    </w:p>
    <w:p>
      <w:pPr>
        <w:tabs>
          <w:tab w:val="left" w:pos="0"/>
          <w:tab w:val="left" w:pos="709"/>
          <w:tab w:val="left" w:pos="851"/>
        </w:tabs>
        <w:autoSpaceDE/>
        <w:autoSpaceDN/>
        <w:spacing w:before="120"/>
        <w:ind w:firstLine="720"/>
        <w:jc w:val="both"/>
        <w:rPr>
          <w:rFonts w:eastAsia="Calibri"/>
          <w:b/>
          <w:bCs/>
          <w:sz w:val="28"/>
        </w:rPr>
      </w:pPr>
      <w:r>
        <w:rPr>
          <w:rFonts w:eastAsia="Calibri"/>
          <w:b/>
          <w:bCs/>
          <w:sz w:val="28"/>
        </w:rPr>
        <w:t>2. Đánh giá việc chấp hành các quy định trong việc lập, thẩm định, quyết định chủ trương đầu tư, quyết định đầu tư các dự án</w:t>
      </w:r>
    </w:p>
    <w:p>
      <w:pPr>
        <w:tabs>
          <w:tab w:val="left" w:pos="0"/>
          <w:tab w:val="left" w:pos="709"/>
          <w:tab w:val="left" w:pos="851"/>
        </w:tabs>
        <w:autoSpaceDE/>
        <w:autoSpaceDN/>
        <w:spacing w:before="120"/>
        <w:ind w:firstLine="720"/>
        <w:jc w:val="both"/>
        <w:rPr>
          <w:rFonts w:eastAsia="Calibri"/>
          <w:sz w:val="28"/>
        </w:rPr>
      </w:pPr>
      <w:r>
        <w:rPr>
          <w:rFonts w:eastAsia="Calibri"/>
          <w:sz w:val="28"/>
        </w:rPr>
        <w:t>- Việc lập báo cáo đề xuất chủ trương đầu tư: Các dự án đã bám sát vào kế hoạch đầu tư công được phê duyệt và các quy hoạch có liên quan, qua đó xác định sự cần thiết đầu tư, các nội dung cơ bản về quy mô đầu tư và sơ bộ tổng mức đầu tư của chương trình, dự án. Các cơ quan, đơn vị, UBND các xã phường được giao nhiệm vụ lập Báo cáo đề xuất chủ trương đầu cơ bản đảm bảo quy định của pháp luật về đầu tư công, tuân thủ đầy đủ các nội dung theo quy định tại Điều 31, Luật Đầu tư công ngày 13/6/2019.</w:t>
      </w:r>
    </w:p>
    <w:p>
      <w:pPr>
        <w:tabs>
          <w:tab w:val="left" w:pos="0"/>
          <w:tab w:val="left" w:pos="709"/>
          <w:tab w:val="left" w:pos="851"/>
        </w:tabs>
        <w:autoSpaceDE/>
        <w:autoSpaceDN/>
        <w:spacing w:before="120"/>
        <w:ind w:firstLine="720"/>
        <w:jc w:val="both"/>
        <w:rPr>
          <w:rFonts w:eastAsia="Calibri"/>
          <w:sz w:val="28"/>
        </w:rPr>
      </w:pPr>
      <w:r>
        <w:rPr>
          <w:rFonts w:eastAsia="Calibri"/>
          <w:sz w:val="28"/>
        </w:rPr>
        <w:t>- Việc thẩm định báo cáo đề xuất chủ trương đầu tư: Các dự án được thẩm định tuân thủ thời gian, nội dung theo quy định tại Điều 9, Nghị định số 40/2020/NĐ-CP ngày 06/4/2020.</w:t>
      </w:r>
    </w:p>
    <w:p>
      <w:pPr>
        <w:tabs>
          <w:tab w:val="left" w:pos="0"/>
          <w:tab w:val="left" w:pos="709"/>
          <w:tab w:val="left" w:pos="851"/>
        </w:tabs>
        <w:autoSpaceDE/>
        <w:autoSpaceDN/>
        <w:spacing w:before="120"/>
        <w:ind w:firstLine="720"/>
        <w:jc w:val="both"/>
        <w:rPr>
          <w:rFonts w:eastAsia="Calibri"/>
          <w:sz w:val="28"/>
        </w:rPr>
      </w:pPr>
      <w:r>
        <w:rPr>
          <w:rFonts w:eastAsia="Calibri"/>
          <w:sz w:val="28"/>
        </w:rPr>
        <w:t>- Việc chấp hành quy định trong việc quyết định chủ trương đầu tư: Các dự án được phê duyệt theo đúng thẩm quyền, phân cấp quản lý tại Điều 17, Luật Đầu tư công và Nghị quyết 20/2020/NQ-HĐND ngày 29/4/2020 của Hội đồng nhân dân tỉnh, Nghị quyết số 01/NQ-HĐND ngày 29/7/2020 của Hội đồng nhân dân thành phố, các dự án trước khi được quyết định đầu tư đã được đánh giá đầy đủ các nội dung theo quy định của pháp luật đầu tư công về sự phù hợp quy mô, nguồn vốn, khả năng cân đối vốn; thực hiện đảm bảo các quy định về thời gian tại Điều 10, Nghị định số 40/2020/NĐ-CP ngày 06/4/2020.</w:t>
      </w:r>
    </w:p>
    <w:p>
      <w:pPr>
        <w:tabs>
          <w:tab w:val="left" w:pos="0"/>
          <w:tab w:val="left" w:pos="709"/>
          <w:tab w:val="left" w:pos="851"/>
        </w:tabs>
        <w:autoSpaceDE/>
        <w:autoSpaceDN/>
        <w:spacing w:before="120"/>
        <w:ind w:firstLine="720"/>
        <w:jc w:val="both"/>
        <w:rPr>
          <w:rFonts w:eastAsia="Calibri"/>
          <w:sz w:val="28"/>
        </w:rPr>
      </w:pPr>
      <w:r>
        <w:rPr>
          <w:rFonts w:eastAsia="Calibri"/>
          <w:sz w:val="28"/>
        </w:rPr>
        <w:t>- Việc chấp hành quy định trong việc quyết định dự án: Các dự án được quyết định đảm bảo quy định thẩm quyền quy định tại Điều 60, Luật Xây dựng được sửa đổi bổ sung tại Khoản 17, Điều 1, Luật xây dựng sửa đổi bổ sung và phù hợp với quy định tại Điều 35, Luật Đầu tư công.</w:t>
      </w:r>
    </w:p>
    <w:p>
      <w:pPr>
        <w:tabs>
          <w:tab w:val="left" w:pos="0"/>
          <w:tab w:val="left" w:pos="709"/>
          <w:tab w:val="left" w:pos="851"/>
        </w:tabs>
        <w:autoSpaceDE/>
        <w:autoSpaceDN/>
        <w:spacing w:before="120"/>
        <w:ind w:firstLine="720"/>
        <w:jc w:val="both"/>
        <w:rPr>
          <w:rFonts w:ascii="Times New Roman Bold" w:eastAsia="Calibri" w:hAnsi="Times New Roman Bold"/>
          <w:b/>
          <w:bCs/>
          <w:spacing w:val="-6"/>
          <w:sz w:val="28"/>
        </w:rPr>
      </w:pPr>
      <w:r>
        <w:rPr>
          <w:rFonts w:ascii="Times New Roman Bold" w:eastAsia="Calibri" w:hAnsi="Times New Roman Bold"/>
          <w:b/>
          <w:bCs/>
          <w:spacing w:val="-6"/>
          <w:sz w:val="28"/>
        </w:rPr>
        <w:t xml:space="preserve">3. </w:t>
      </w:r>
      <w:r>
        <w:rPr>
          <w:b/>
          <w:bCs/>
          <w:sz w:val="28"/>
          <w:szCs w:val="28"/>
        </w:rPr>
        <w:t>Tình hình giao và phân bổ kế hoạch vốn năm 2024</w:t>
      </w:r>
    </w:p>
    <w:p>
      <w:pPr>
        <w:tabs>
          <w:tab w:val="left" w:pos="0"/>
          <w:tab w:val="left" w:pos="709"/>
          <w:tab w:val="left" w:pos="851"/>
        </w:tabs>
        <w:autoSpaceDE/>
        <w:autoSpaceDN/>
        <w:spacing w:before="120" w:after="120" w:line="252" w:lineRule="auto"/>
        <w:ind w:firstLine="567"/>
        <w:jc w:val="both"/>
        <w:rPr>
          <w:rFonts w:eastAsia="Calibri"/>
          <w:sz w:val="28"/>
          <w:szCs w:val="28"/>
        </w:rPr>
      </w:pPr>
      <w:r>
        <w:rPr>
          <w:rFonts w:eastAsia="Calibri"/>
          <w:sz w:val="28"/>
          <w:szCs w:val="28"/>
        </w:rPr>
        <w:tab/>
        <w:t xml:space="preserve">Tổng nguồn vốn đầu tư công năm 2024 </w:t>
      </w:r>
      <w:r>
        <w:rPr>
          <w:rFonts w:eastAsia="Calibri"/>
          <w:b/>
          <w:bCs/>
          <w:sz w:val="28"/>
          <w:szCs w:val="28"/>
        </w:rPr>
        <w:t>là 812.719 triệu đồng</w:t>
      </w:r>
      <w:r>
        <w:rPr>
          <w:rFonts w:eastAsia="Calibri"/>
          <w:sz w:val="28"/>
          <w:szCs w:val="28"/>
        </w:rPr>
        <w:t xml:space="preserve">, cụ thể như </w:t>
      </w:r>
      <w:r>
        <w:rPr>
          <w:rFonts w:eastAsia="Calibri"/>
          <w:sz w:val="28"/>
          <w:szCs w:val="28"/>
        </w:rPr>
        <w:lastRenderedPageBreak/>
        <w:t>sau:</w:t>
      </w:r>
    </w:p>
    <w:p>
      <w:pPr>
        <w:tabs>
          <w:tab w:val="left" w:pos="0"/>
          <w:tab w:val="left" w:pos="709"/>
          <w:tab w:val="left" w:pos="851"/>
        </w:tabs>
        <w:autoSpaceDE/>
        <w:autoSpaceDN/>
        <w:spacing w:before="120" w:after="120" w:line="252" w:lineRule="auto"/>
        <w:ind w:firstLine="567"/>
        <w:jc w:val="both"/>
        <w:rPr>
          <w:rFonts w:eastAsia="Calibri"/>
          <w:b/>
          <w:bCs/>
          <w:sz w:val="28"/>
          <w:szCs w:val="28"/>
        </w:rPr>
      </w:pPr>
      <w:r>
        <w:rPr>
          <w:rFonts w:eastAsia="Calibri"/>
          <w:b/>
          <w:bCs/>
          <w:sz w:val="28"/>
          <w:szCs w:val="28"/>
        </w:rPr>
        <w:t xml:space="preserve">3.1. </w:t>
      </w:r>
      <w:r>
        <w:rPr>
          <w:rFonts w:eastAsia="Calibri"/>
          <w:b/>
          <w:bCs/>
          <w:sz w:val="28"/>
          <w:szCs w:val="28"/>
          <w:lang w:val="en-US"/>
        </w:rPr>
        <w:t>Phân bổ n</w:t>
      </w:r>
      <w:r>
        <w:rPr>
          <w:rFonts w:eastAsia="Calibri"/>
          <w:b/>
          <w:bCs/>
          <w:sz w:val="28"/>
          <w:szCs w:val="28"/>
        </w:rPr>
        <w:t xml:space="preserve">guồn vốn đầu tư </w:t>
      </w:r>
      <w:r>
        <w:rPr>
          <w:b/>
          <w:spacing w:val="-8"/>
          <w:sz w:val="28"/>
          <w:szCs w:val="28"/>
        </w:rPr>
        <w:t xml:space="preserve">năm 2024 là </w:t>
      </w:r>
      <w:r>
        <w:rPr>
          <w:rFonts w:eastAsia="Calibri"/>
          <w:b/>
          <w:bCs/>
          <w:sz w:val="28"/>
          <w:szCs w:val="28"/>
        </w:rPr>
        <w:t xml:space="preserve">812.719 </w:t>
      </w:r>
      <w:r>
        <w:rPr>
          <w:b/>
          <w:spacing w:val="-8"/>
          <w:sz w:val="28"/>
          <w:szCs w:val="28"/>
        </w:rPr>
        <w:t xml:space="preserve">triệu đồng, trong đó: </w:t>
      </w:r>
    </w:p>
    <w:p>
      <w:pPr>
        <w:pStyle w:val="Heading1"/>
        <w:tabs>
          <w:tab w:val="left" w:pos="1257"/>
        </w:tabs>
        <w:spacing w:before="120" w:after="120"/>
        <w:ind w:left="0" w:firstLine="567"/>
        <w:rPr>
          <w:b w:val="0"/>
          <w:bCs w:val="0"/>
          <w:spacing w:val="-8"/>
        </w:rPr>
      </w:pPr>
      <w:r>
        <w:rPr>
          <w:spacing w:val="-8"/>
        </w:rPr>
        <w:t xml:space="preserve">a) Nguồn vốn đầu tư do Thành phố quản lý: </w:t>
      </w:r>
      <w:r>
        <w:rPr>
          <w:b w:val="0"/>
          <w:bCs w:val="0"/>
          <w:spacing w:val="-8"/>
        </w:rPr>
        <w:t xml:space="preserve">136.712 triệu đồng, </w:t>
      </w:r>
      <w:r>
        <w:rPr>
          <w:b w:val="0"/>
          <w:bCs w:val="0"/>
        </w:rPr>
        <w:t>kế hoạch vốn thực tế điều hành: 26.641 triệu đồng,</w:t>
      </w:r>
      <w:r>
        <w:rPr>
          <w:b w:val="0"/>
          <w:bCs w:val="0"/>
          <w:spacing w:val="-8"/>
        </w:rPr>
        <w:t xml:space="preserve"> cụ thể:</w:t>
      </w:r>
    </w:p>
    <w:p>
      <w:pPr>
        <w:tabs>
          <w:tab w:val="left" w:pos="9356"/>
        </w:tabs>
        <w:spacing w:before="120"/>
        <w:jc w:val="both"/>
        <w:rPr>
          <w:sz w:val="28"/>
          <w:szCs w:val="28"/>
        </w:rPr>
      </w:pPr>
      <w:r>
        <w:rPr>
          <w:sz w:val="28"/>
          <w:szCs w:val="28"/>
          <w:lang w:val="en-US"/>
        </w:rPr>
        <w:t xml:space="preserve">        </w:t>
      </w:r>
      <w:r>
        <w:rPr>
          <w:sz w:val="28"/>
          <w:szCs w:val="28"/>
        </w:rPr>
        <w:t xml:space="preserve">- Vốn XDCBTT (30%): 20.512 triệu đồng </w:t>
      </w:r>
      <w:r>
        <w:rPr>
          <w:spacing w:val="-6"/>
          <w:sz w:val="28"/>
          <w:szCs w:val="28"/>
        </w:rPr>
        <w:t>(kế hoạch vốn điều hành thực tế)</w:t>
      </w:r>
      <w:r>
        <w:rPr>
          <w:sz w:val="28"/>
          <w:szCs w:val="28"/>
        </w:rPr>
        <w:t>.</w:t>
      </w:r>
    </w:p>
    <w:p>
      <w:pPr>
        <w:pStyle w:val="Heading1"/>
        <w:tabs>
          <w:tab w:val="left" w:pos="1257"/>
        </w:tabs>
        <w:spacing w:before="120" w:after="120"/>
        <w:ind w:left="0" w:firstLine="567"/>
        <w:rPr>
          <w:b w:val="0"/>
          <w:bCs w:val="0"/>
        </w:rPr>
      </w:pPr>
      <w:r>
        <w:rPr>
          <w:b w:val="0"/>
          <w:bCs w:val="0"/>
        </w:rPr>
        <w:t>- Vốn đầu tư từ nguồn thu tiền sử dụng đất NS thành phố hưởng: 116.200 triệu đồng, kế hoạch vốn thực tế điều hành: 10.319 triệu đồng.</w:t>
      </w:r>
    </w:p>
    <w:p>
      <w:pPr>
        <w:pStyle w:val="Heading1"/>
        <w:tabs>
          <w:tab w:val="left" w:pos="1257"/>
        </w:tabs>
        <w:spacing w:before="120" w:after="120"/>
        <w:ind w:left="0" w:firstLine="567"/>
        <w:rPr>
          <w:b w:val="0"/>
          <w:bCs w:val="0"/>
        </w:rPr>
      </w:pPr>
      <w:r>
        <w:t>b) Nguồn vốn đầu tư do Tỉnh quản lý: 640.229</w:t>
      </w:r>
      <w:r>
        <w:rPr>
          <w:b w:val="0"/>
          <w:bCs w:val="0"/>
        </w:rPr>
        <w:t xml:space="preserve"> triệu đồng,</w:t>
      </w:r>
      <w:r>
        <w:t xml:space="preserve"> </w:t>
      </w:r>
      <w:r>
        <w:rPr>
          <w:b w:val="0"/>
          <w:bCs w:val="0"/>
        </w:rPr>
        <w:t>kế hoạch vốn thực tế điều hành: 262.443 triệu đồng, cụ thể:</w:t>
      </w:r>
    </w:p>
    <w:p>
      <w:pPr>
        <w:pStyle w:val="Heading1"/>
        <w:tabs>
          <w:tab w:val="left" w:pos="1257"/>
        </w:tabs>
        <w:spacing w:before="120" w:after="120"/>
        <w:ind w:left="0" w:firstLine="567"/>
        <w:rPr>
          <w:b w:val="0"/>
          <w:bCs w:val="0"/>
        </w:rPr>
      </w:pPr>
      <w:r>
        <w:rPr>
          <w:b w:val="0"/>
          <w:bCs w:val="0"/>
        </w:rPr>
        <w:t xml:space="preserve">- Vốn Ổn định dân cư phát triển kinh tế - xã hội vùng tái định cư thủy điện Sơn La: 142.100 triệu đồng </w:t>
      </w:r>
      <w:r>
        <w:rPr>
          <w:b w:val="0"/>
          <w:bCs w:val="0"/>
          <w:spacing w:val="-6"/>
        </w:rPr>
        <w:t>(kế hoạch vốn điều hành thực tế)</w:t>
      </w:r>
      <w:r>
        <w:rPr>
          <w:b w:val="0"/>
          <w:bCs w:val="0"/>
        </w:rPr>
        <w:t>.</w:t>
      </w:r>
    </w:p>
    <w:p>
      <w:pPr>
        <w:pStyle w:val="Heading1"/>
        <w:tabs>
          <w:tab w:val="left" w:pos="1257"/>
        </w:tabs>
        <w:spacing w:before="120" w:after="120"/>
        <w:ind w:left="0" w:firstLine="709"/>
        <w:rPr>
          <w:b w:val="0"/>
          <w:bCs w:val="0"/>
          <w:i/>
          <w:iCs/>
        </w:rPr>
      </w:pPr>
      <w:r>
        <w:rPr>
          <w:b w:val="0"/>
          <w:bCs w:val="0"/>
        </w:rPr>
        <w:t xml:space="preserve">- Vốn cân đối ngân sách địa phương (tỉnh QL 70%): 87.961 triệu đồng </w:t>
      </w:r>
      <w:r>
        <w:rPr>
          <w:b w:val="0"/>
          <w:bCs w:val="0"/>
          <w:spacing w:val="-6"/>
        </w:rPr>
        <w:t>(kế hoạch vốn điều hành thực tế)</w:t>
      </w:r>
      <w:r>
        <w:rPr>
          <w:b w:val="0"/>
          <w:bCs w:val="0"/>
        </w:rPr>
        <w:t xml:space="preserve"> </w:t>
      </w:r>
      <w:r>
        <w:rPr>
          <w:b w:val="0"/>
          <w:bCs w:val="0"/>
          <w:i/>
          <w:iCs/>
        </w:rPr>
        <w:t>(Điều chỉnh tăng: tại NQ 199/NQ-HĐND ngày 04/11/2024).</w:t>
      </w:r>
    </w:p>
    <w:p>
      <w:pPr>
        <w:pStyle w:val="Heading1"/>
        <w:tabs>
          <w:tab w:val="left" w:pos="1257"/>
        </w:tabs>
        <w:spacing w:before="120" w:after="120"/>
        <w:ind w:left="0" w:firstLine="709"/>
        <w:rPr>
          <w:b w:val="0"/>
          <w:bCs w:val="0"/>
          <w:i/>
          <w:iCs/>
        </w:rPr>
      </w:pPr>
      <w:r>
        <w:rPr>
          <w:b w:val="0"/>
          <w:bCs w:val="0"/>
        </w:rPr>
        <w:t>- Đầu tư từ nguồn thu sử dụng đất: 410.083 triệu đồng; kế hoạch vốn thực tế điều hành: 32.297 triệu đồng.</w:t>
      </w:r>
      <w:r>
        <w:rPr>
          <w:b w:val="0"/>
          <w:bCs w:val="0"/>
          <w:i/>
          <w:iCs/>
        </w:rPr>
        <w:t xml:space="preserve"> (Điều chỉnh tăng: tại NQ 199/NQ-HĐND ngày 04/11/2024).</w:t>
      </w:r>
    </w:p>
    <w:p>
      <w:pPr>
        <w:pStyle w:val="Heading1"/>
        <w:tabs>
          <w:tab w:val="left" w:pos="1257"/>
        </w:tabs>
        <w:spacing w:before="120" w:after="120"/>
        <w:ind w:left="0" w:firstLine="709"/>
        <w:rPr>
          <w:b w:val="0"/>
          <w:bCs w:val="0"/>
        </w:rPr>
      </w:pPr>
      <w:r>
        <w:rPr>
          <w:b w:val="0"/>
          <w:bCs w:val="0"/>
        </w:rPr>
        <w:t>- Vốn NSTW thực hiện dự án bảo vệ và phát triển rừng: 85 triệu đồng</w:t>
      </w:r>
      <w:r>
        <w:rPr>
          <w:b w:val="0"/>
          <w:bCs w:val="0"/>
          <w:spacing w:val="-6"/>
        </w:rPr>
        <w:t xml:space="preserve"> (kế hoạch vốn điều hành thực tế)</w:t>
      </w:r>
      <w:r>
        <w:rPr>
          <w:b w:val="0"/>
          <w:bCs w:val="0"/>
        </w:rPr>
        <w:t>.</w:t>
      </w:r>
    </w:p>
    <w:p>
      <w:pPr>
        <w:pStyle w:val="Heading1"/>
        <w:tabs>
          <w:tab w:val="left" w:pos="1257"/>
        </w:tabs>
        <w:spacing w:before="120" w:after="120"/>
        <w:ind w:left="0" w:firstLine="709"/>
        <w:rPr>
          <w:b w:val="0"/>
          <w:bCs w:val="0"/>
        </w:rPr>
      </w:pPr>
      <w:r>
        <w:rPr>
          <w:bCs w:val="0"/>
        </w:rPr>
        <w:t>c) Nguồn vốn đầu tư Chương trình MTQG</w:t>
      </w:r>
      <w:r>
        <w:rPr>
          <w:b w:val="0"/>
        </w:rPr>
        <w:t xml:space="preserve">: </w:t>
      </w:r>
      <w:r>
        <w:rPr>
          <w:b w:val="0"/>
          <w:bCs w:val="0"/>
        </w:rPr>
        <w:t>35.778 triệu đồng, cụ thể:</w:t>
      </w:r>
    </w:p>
    <w:p>
      <w:pPr>
        <w:pStyle w:val="Heading1"/>
        <w:tabs>
          <w:tab w:val="left" w:pos="1257"/>
        </w:tabs>
        <w:spacing w:before="120" w:after="120"/>
        <w:ind w:left="0" w:firstLine="709"/>
        <w:rPr>
          <w:b w:val="0"/>
          <w:bCs w:val="0"/>
        </w:rPr>
      </w:pPr>
      <w:r>
        <w:rPr>
          <w:b w:val="0"/>
          <w:bCs w:val="0"/>
        </w:rPr>
        <w:t>- Nguồn vốn năm 2022 và năm 2023 được phép kéo dài sang năm 2024 là: 5.083 triệu đồng, trong đó:</w:t>
      </w:r>
    </w:p>
    <w:p>
      <w:pPr>
        <w:pStyle w:val="Heading1"/>
        <w:tabs>
          <w:tab w:val="left" w:pos="1257"/>
        </w:tabs>
        <w:spacing w:before="120" w:after="120"/>
        <w:ind w:left="0" w:firstLine="709"/>
        <w:rPr>
          <w:b w:val="0"/>
          <w:bCs w:val="0"/>
        </w:rPr>
      </w:pPr>
      <w:r>
        <w:rPr>
          <w:b w:val="0"/>
          <w:bCs w:val="0"/>
        </w:rPr>
        <w:t xml:space="preserve">+ Chương trình mục tiêu quốc gia xây dựng nông thôn mới năm 2022 kéo dài sang năm 2024 là 69 triệu đồng </w:t>
      </w:r>
      <w:r>
        <w:rPr>
          <w:b w:val="0"/>
          <w:bCs w:val="0"/>
          <w:i/>
          <w:iCs/>
        </w:rPr>
        <w:t>(Nguồn thành phố quản lý)</w:t>
      </w:r>
      <w:r>
        <w:rPr>
          <w:b w:val="0"/>
          <w:bCs w:val="0"/>
        </w:rPr>
        <w:t>.</w:t>
      </w:r>
    </w:p>
    <w:p>
      <w:pPr>
        <w:pStyle w:val="Heading1"/>
        <w:tabs>
          <w:tab w:val="left" w:pos="1257"/>
        </w:tabs>
        <w:spacing w:before="120" w:after="120"/>
        <w:ind w:left="0" w:firstLine="709"/>
        <w:rPr>
          <w:b w:val="0"/>
          <w:bCs w:val="0"/>
          <w:i/>
          <w:iCs/>
          <w:spacing w:val="-4"/>
        </w:rPr>
      </w:pPr>
      <w:r>
        <w:rPr>
          <w:b w:val="0"/>
          <w:bCs w:val="0"/>
          <w:spacing w:val="-4"/>
        </w:rPr>
        <w:t>+ Chương trình Mục tiêu quốc gia phát triển kinh tế - xã hội vùng đồng bào dân tộc thiểu số và miền núi kéo dài năm 2023 sang 2024 là 4.507 triệu đồng</w:t>
      </w:r>
      <w:r>
        <w:rPr>
          <w:b w:val="0"/>
          <w:bCs w:val="0"/>
          <w:i/>
          <w:iCs/>
          <w:spacing w:val="-4"/>
        </w:rPr>
        <w:t>.(Nguồn vốn tỉnh quản lý: 1.720 triệu đồng, thành phố quản lý: 2.787 triệu đồng).</w:t>
      </w:r>
    </w:p>
    <w:p>
      <w:pPr>
        <w:pStyle w:val="Heading1"/>
        <w:tabs>
          <w:tab w:val="left" w:pos="1257"/>
        </w:tabs>
        <w:spacing w:before="120" w:after="120"/>
        <w:ind w:left="0" w:firstLine="709"/>
        <w:rPr>
          <w:b w:val="0"/>
          <w:bCs w:val="0"/>
        </w:rPr>
      </w:pPr>
      <w:r>
        <w:rPr>
          <w:b w:val="0"/>
          <w:bCs w:val="0"/>
        </w:rPr>
        <w:t xml:space="preserve">+ Chương trình Mục tiêu quốc gia xây dựng nông thôn mới kéo dài năm 2023 sang 2024 là 507 triệu đồng </w:t>
      </w:r>
      <w:r>
        <w:rPr>
          <w:b w:val="0"/>
          <w:bCs w:val="0"/>
          <w:i/>
          <w:iCs/>
        </w:rPr>
        <w:t>(Nguồn thành phố quản lý)</w:t>
      </w:r>
      <w:r>
        <w:rPr>
          <w:b w:val="0"/>
          <w:bCs w:val="0"/>
        </w:rPr>
        <w:t>.</w:t>
      </w:r>
    </w:p>
    <w:p>
      <w:pPr>
        <w:pStyle w:val="Heading1"/>
        <w:tabs>
          <w:tab w:val="left" w:pos="1257"/>
        </w:tabs>
        <w:spacing w:before="120" w:after="120"/>
        <w:ind w:left="0" w:firstLine="709"/>
        <w:rPr>
          <w:b w:val="0"/>
          <w:bCs w:val="0"/>
        </w:rPr>
      </w:pPr>
      <w:r>
        <w:rPr>
          <w:b w:val="0"/>
          <w:bCs w:val="0"/>
        </w:rPr>
        <w:t>- Nguồn vốn năm 2024 là: 30.695 triệu đồng.</w:t>
      </w:r>
    </w:p>
    <w:p>
      <w:pPr>
        <w:pStyle w:val="Heading1"/>
        <w:tabs>
          <w:tab w:val="left" w:pos="1257"/>
        </w:tabs>
        <w:spacing w:before="120" w:after="120"/>
        <w:ind w:left="0" w:firstLine="709"/>
        <w:rPr>
          <w:b w:val="0"/>
          <w:bCs w:val="0"/>
          <w:i/>
          <w:iCs/>
        </w:rPr>
      </w:pPr>
      <w:r>
        <w:rPr>
          <w:b w:val="0"/>
          <w:bCs w:val="0"/>
        </w:rPr>
        <w:t>+ Chương trình Mục tiêu quốc gia phát triển kinh tế - xã hội vùng đồng bào dân tộc thiểu số và miền núi: 26.657 triệu đồng</w:t>
      </w:r>
      <w:r>
        <w:rPr>
          <w:b w:val="0"/>
          <w:bCs w:val="0"/>
          <w:i/>
          <w:iCs/>
        </w:rPr>
        <w:t>. (Nguồn vốn tỉnh quản lý: 6.237 triệu đồng, thành phố quản lý: 20.420 triệu đồng).</w:t>
      </w:r>
    </w:p>
    <w:p>
      <w:pPr>
        <w:pStyle w:val="Heading1"/>
        <w:tabs>
          <w:tab w:val="left" w:pos="1257"/>
        </w:tabs>
        <w:spacing w:before="120" w:after="120"/>
        <w:ind w:left="0" w:firstLine="709"/>
        <w:rPr>
          <w:b w:val="0"/>
          <w:bCs w:val="0"/>
        </w:rPr>
      </w:pPr>
      <w:r>
        <w:rPr>
          <w:b w:val="0"/>
          <w:bCs w:val="0"/>
        </w:rPr>
        <w:t xml:space="preserve">+ Chương trình Mục tiêu quốc gia xây dựng nông thôn mới: 4.038 triệu đồng </w:t>
      </w:r>
      <w:r>
        <w:rPr>
          <w:b w:val="0"/>
          <w:bCs w:val="0"/>
          <w:i/>
          <w:iCs/>
        </w:rPr>
        <w:t>(Nguồn thành phố quản lý)</w:t>
      </w:r>
    </w:p>
    <w:p>
      <w:pPr>
        <w:pStyle w:val="Heading1"/>
        <w:tabs>
          <w:tab w:val="left" w:pos="1257"/>
        </w:tabs>
        <w:spacing w:before="120" w:after="120"/>
        <w:ind w:left="0" w:firstLine="567"/>
        <w:rPr>
          <w:b w:val="0"/>
          <w:bCs w:val="0"/>
          <w:color w:val="FF0000"/>
        </w:rPr>
      </w:pPr>
      <w:r>
        <w:t xml:space="preserve">3.2. Nguồn vốn chưa phân bổ: </w:t>
      </w:r>
      <w:r>
        <w:rPr>
          <w:b w:val="0"/>
          <w:bCs w:val="0"/>
          <w:color w:val="FF0000"/>
        </w:rPr>
        <w:t>Không.</w:t>
      </w:r>
    </w:p>
    <w:p>
      <w:pPr>
        <w:tabs>
          <w:tab w:val="left" w:pos="0"/>
          <w:tab w:val="left" w:pos="709"/>
          <w:tab w:val="left" w:pos="851"/>
        </w:tabs>
        <w:autoSpaceDE/>
        <w:autoSpaceDN/>
        <w:spacing w:before="120"/>
        <w:ind w:firstLine="567"/>
        <w:jc w:val="both"/>
        <w:rPr>
          <w:b/>
          <w:bCs/>
          <w:sz w:val="28"/>
          <w:szCs w:val="28"/>
        </w:rPr>
      </w:pPr>
      <w:r>
        <w:rPr>
          <w:rFonts w:eastAsia="Courier New"/>
          <w:b/>
          <w:bCs/>
          <w:sz w:val="28"/>
          <w:szCs w:val="28"/>
          <w:lang w:eastAsia="vi-VN"/>
        </w:rPr>
        <w:t>4</w:t>
      </w:r>
      <w:r>
        <w:rPr>
          <w:rFonts w:eastAsia="Courier New"/>
          <w:b/>
          <w:bCs/>
          <w:sz w:val="28"/>
          <w:szCs w:val="28"/>
          <w:lang w:val="vi-VN" w:eastAsia="vi-VN"/>
        </w:rPr>
        <w:t>.</w:t>
      </w:r>
      <w:r>
        <w:rPr>
          <w:rFonts w:ascii="Times New Roman Bold" w:eastAsia="Courier New" w:hAnsi="Times New Roman Bold"/>
          <w:b/>
          <w:bCs/>
          <w:sz w:val="28"/>
          <w:szCs w:val="28"/>
          <w:lang w:val="vi-VN" w:eastAsia="vi-VN"/>
        </w:rPr>
        <w:t xml:space="preserve"> </w:t>
      </w:r>
      <w:r>
        <w:rPr>
          <w:rFonts w:ascii="Times New Roman Bold" w:hAnsi="Times New Roman Bold"/>
          <w:b/>
          <w:bCs/>
          <w:sz w:val="28"/>
          <w:szCs w:val="28"/>
        </w:rPr>
        <w:t xml:space="preserve">Tình hình thực hiện, tiến độ giải ngân kế hoạch vốn đầu tư đến hết </w:t>
      </w:r>
      <w:r>
        <w:rPr>
          <w:b/>
          <w:bCs/>
          <w:sz w:val="28"/>
          <w:szCs w:val="28"/>
        </w:rPr>
        <w:t xml:space="preserve">15/11/2024 và ước </w:t>
      </w:r>
      <w:r>
        <w:rPr>
          <w:b/>
          <w:bCs/>
          <w:sz w:val="28"/>
          <w:szCs w:val="28"/>
          <w:lang w:val="en-US"/>
        </w:rPr>
        <w:t xml:space="preserve">thực hiện </w:t>
      </w:r>
      <w:r>
        <w:rPr>
          <w:b/>
          <w:bCs/>
          <w:sz w:val="28"/>
          <w:szCs w:val="28"/>
        </w:rPr>
        <w:t>giải ngân cả năm 2024</w:t>
      </w:r>
    </w:p>
    <w:p>
      <w:pPr>
        <w:spacing w:before="120" w:line="18" w:lineRule="atLeast"/>
        <w:ind w:firstLine="567"/>
        <w:jc w:val="both"/>
        <w:rPr>
          <w:sz w:val="28"/>
          <w:szCs w:val="28"/>
          <w:lang w:val="vi-VN"/>
        </w:rPr>
      </w:pPr>
      <w:r>
        <w:rPr>
          <w:rFonts w:eastAsia="Calibri"/>
          <w:sz w:val="28"/>
          <w:szCs w:val="28"/>
          <w:lang w:val="vi-VN"/>
        </w:rPr>
        <w:lastRenderedPageBreak/>
        <w:t>Tổng kế hoạch vốn giao năm 202</w:t>
      </w:r>
      <w:r>
        <w:rPr>
          <w:rFonts w:eastAsia="Calibri"/>
          <w:sz w:val="28"/>
          <w:szCs w:val="28"/>
        </w:rPr>
        <w:t xml:space="preserve">4 là: </w:t>
      </w:r>
      <w:r>
        <w:rPr>
          <w:rFonts w:eastAsia="Calibri"/>
          <w:b/>
          <w:bCs/>
          <w:sz w:val="28"/>
          <w:szCs w:val="28"/>
        </w:rPr>
        <w:t xml:space="preserve">812.719 </w:t>
      </w:r>
      <w:r>
        <w:rPr>
          <w:rFonts w:eastAsia="Calibri"/>
          <w:sz w:val="28"/>
          <w:szCs w:val="28"/>
          <w:lang w:val="vi-VN"/>
        </w:rPr>
        <w:t>triệu đồng</w:t>
      </w:r>
      <w:r>
        <w:rPr>
          <w:rFonts w:eastAsia="Calibri"/>
          <w:sz w:val="28"/>
          <w:szCs w:val="28"/>
          <w:lang w:val="de-AT"/>
        </w:rPr>
        <w:t xml:space="preserve"> (K</w:t>
      </w:r>
      <w:r>
        <w:rPr>
          <w:sz w:val="28"/>
          <w:szCs w:val="28"/>
        </w:rPr>
        <w:t>ế hoạch vốn điều hành thực tế</w:t>
      </w:r>
      <w:r>
        <w:rPr>
          <w:sz w:val="28"/>
          <w:szCs w:val="28"/>
          <w:lang w:val="vi-VN"/>
        </w:rPr>
        <w:t xml:space="preserve">: </w:t>
      </w:r>
      <w:r>
        <w:rPr>
          <w:sz w:val="28"/>
          <w:szCs w:val="28"/>
          <w:lang w:val="de-AT"/>
        </w:rPr>
        <w:t>329.052 triệu</w:t>
      </w:r>
      <w:r>
        <w:rPr>
          <w:sz w:val="28"/>
          <w:szCs w:val="28"/>
          <w:lang w:val="vi-VN"/>
        </w:rPr>
        <w:t xml:space="preserve"> đồng</w:t>
      </w:r>
      <w:r>
        <w:rPr>
          <w:sz w:val="28"/>
          <w:szCs w:val="28"/>
          <w:lang w:val="de-AT"/>
        </w:rPr>
        <w:t>)</w:t>
      </w:r>
      <w:r>
        <w:rPr>
          <w:rFonts w:eastAsia="Calibri"/>
          <w:sz w:val="28"/>
          <w:szCs w:val="28"/>
          <w:lang w:val="vi-VN"/>
        </w:rPr>
        <w:t xml:space="preserve">. Lũy kế giá trị giải ngân, thanh toán đến </w:t>
      </w:r>
      <w:r>
        <w:rPr>
          <w:rFonts w:eastAsia="Calibri"/>
          <w:color w:val="FF0000"/>
          <w:sz w:val="28"/>
          <w:szCs w:val="28"/>
          <w:lang w:val="vi-VN"/>
        </w:rPr>
        <w:t xml:space="preserve">thời điểm báo cáo </w:t>
      </w:r>
      <w:r>
        <w:rPr>
          <w:rFonts w:eastAsia="Calibri"/>
          <w:sz w:val="28"/>
          <w:szCs w:val="28"/>
          <w:lang w:val="vi-VN"/>
        </w:rPr>
        <w:t xml:space="preserve">là </w:t>
      </w:r>
      <w:r>
        <w:rPr>
          <w:sz w:val="28"/>
          <w:szCs w:val="28"/>
          <w:lang w:val="de-AT"/>
        </w:rPr>
        <w:t>166.047</w:t>
      </w:r>
      <w:r>
        <w:rPr>
          <w:rFonts w:eastAsia="Calibri"/>
          <w:sz w:val="28"/>
          <w:szCs w:val="28"/>
          <w:lang w:val="vi-VN"/>
        </w:rPr>
        <w:t xml:space="preserve"> triệu đồng, tỷ lệ đạt: 20% kế hoạch vốn giao và đạt 50% </w:t>
      </w:r>
      <w:r>
        <w:rPr>
          <w:rFonts w:eastAsia="Calibri"/>
          <w:sz w:val="28"/>
          <w:szCs w:val="28"/>
          <w:lang w:val="de-AT"/>
        </w:rPr>
        <w:t>K</w:t>
      </w:r>
      <w:r>
        <w:rPr>
          <w:sz w:val="28"/>
          <w:szCs w:val="28"/>
          <w:lang w:val="vi-VN"/>
        </w:rPr>
        <w:t>ế hoạch vốn điều hành thực tế</w:t>
      </w:r>
      <w:r>
        <w:rPr>
          <w:rFonts w:eastAsia="Calibri"/>
          <w:sz w:val="28"/>
          <w:szCs w:val="28"/>
          <w:lang w:val="vi-VN"/>
        </w:rPr>
        <w:t>;</w:t>
      </w:r>
      <w:r>
        <w:rPr>
          <w:sz w:val="28"/>
          <w:szCs w:val="28"/>
          <w:lang w:val="vi-VN"/>
        </w:rPr>
        <w:t xml:space="preserve"> Ước giải ngân kế hoạch vốn năm 2024 đến 31/01/2025: 587.107 triệu đồng, đạt 72% kế hoạch vốn 2024, trong đó:</w:t>
      </w:r>
    </w:p>
    <w:p>
      <w:pPr>
        <w:tabs>
          <w:tab w:val="left" w:pos="0"/>
          <w:tab w:val="left" w:pos="709"/>
          <w:tab w:val="left" w:pos="851"/>
        </w:tabs>
        <w:autoSpaceDE/>
        <w:autoSpaceDN/>
        <w:spacing w:before="120" w:after="120"/>
        <w:ind w:firstLine="567"/>
        <w:jc w:val="both"/>
        <w:rPr>
          <w:rFonts w:eastAsia="Calibri"/>
          <w:sz w:val="28"/>
          <w:szCs w:val="28"/>
          <w:lang w:val="vi-VN"/>
        </w:rPr>
      </w:pPr>
      <w:r>
        <w:rPr>
          <w:rFonts w:eastAsia="Courier New"/>
          <w:b/>
          <w:bCs/>
          <w:spacing w:val="-8"/>
          <w:sz w:val="28"/>
          <w:szCs w:val="28"/>
          <w:lang w:val="vi-VN" w:eastAsia="vi-VN"/>
        </w:rPr>
        <w:t>4.1. Vốn đầu tư công</w:t>
      </w:r>
    </w:p>
    <w:p>
      <w:pPr>
        <w:pStyle w:val="Heading1"/>
        <w:tabs>
          <w:tab w:val="left" w:pos="1257"/>
        </w:tabs>
        <w:spacing w:before="120" w:after="120"/>
        <w:ind w:left="0" w:firstLine="567"/>
        <w:rPr>
          <w:b w:val="0"/>
          <w:bCs w:val="0"/>
          <w:lang w:val="vi-VN"/>
        </w:rPr>
      </w:pPr>
      <w:bookmarkStart w:id="3" w:name="_Hlk168046118"/>
      <w:r>
        <w:rPr>
          <w:bCs w:val="0"/>
          <w:lang w:val="vi-VN"/>
        </w:rPr>
        <w:t xml:space="preserve"> a) Vốn ngân sách do Thành phố quản lý</w:t>
      </w:r>
    </w:p>
    <w:p>
      <w:pPr>
        <w:pStyle w:val="Heading1"/>
        <w:tabs>
          <w:tab w:val="left" w:pos="1257"/>
        </w:tabs>
        <w:spacing w:before="120" w:after="120"/>
        <w:ind w:left="0" w:firstLine="567"/>
        <w:rPr>
          <w:b w:val="0"/>
          <w:bCs w:val="0"/>
          <w:lang w:val="vi-VN"/>
        </w:rPr>
      </w:pPr>
      <w:r>
        <w:rPr>
          <w:b w:val="0"/>
          <w:bCs w:val="0"/>
          <w:lang w:val="vi-VN"/>
        </w:rPr>
        <w:t xml:space="preserve">Tổng nguồn vốn giao năm 2024 là </w:t>
      </w:r>
      <w:r>
        <w:rPr>
          <w:lang w:val="vi-VN"/>
        </w:rPr>
        <w:t>136.712</w:t>
      </w:r>
      <w:r>
        <w:rPr>
          <w:b w:val="0"/>
          <w:bCs w:val="0"/>
          <w:lang w:val="vi-VN"/>
        </w:rPr>
        <w:t xml:space="preserve"> triệu đồng; tổng số giải ngân đến thời điểm báo cáo là: </w:t>
      </w:r>
      <w:r>
        <w:rPr>
          <w:lang w:val="vi-VN"/>
        </w:rPr>
        <w:t>24.504</w:t>
      </w:r>
      <w:r>
        <w:rPr>
          <w:b w:val="0"/>
          <w:bCs w:val="0"/>
          <w:lang w:val="vi-VN"/>
        </w:rPr>
        <w:t xml:space="preserve"> triệu đồng; đạt 18% kế hoạch vốn theo quyết định giao, đạt 82% kế hoạch vốn điều hành thực tế. Ước giải ngân kế hoạch vốn năm 2024 đến 31/01/2025: 57.641 triệu đồng, đạt 42% kế hoạch vốn 2024 theo quyết định giao và đạt 100% kế hoạch vốn điều hành thực tế</w:t>
      </w:r>
      <w:r>
        <w:rPr>
          <w:b w:val="0"/>
          <w:bCs w:val="0"/>
          <w:lang w:val="en-US"/>
        </w:rPr>
        <w:t>,</w:t>
      </w:r>
      <w:r>
        <w:rPr>
          <w:b w:val="0"/>
          <w:bCs w:val="0"/>
          <w:lang w:val="vi-VN"/>
        </w:rPr>
        <w:t xml:space="preserve"> trong đó:</w:t>
      </w:r>
    </w:p>
    <w:p>
      <w:pPr>
        <w:pStyle w:val="Heading1"/>
        <w:tabs>
          <w:tab w:val="left" w:pos="1257"/>
        </w:tabs>
        <w:spacing w:before="120" w:after="120"/>
        <w:ind w:left="0" w:firstLine="567"/>
        <w:rPr>
          <w:b w:val="0"/>
          <w:bCs w:val="0"/>
          <w:lang w:val="vi-VN"/>
        </w:rPr>
      </w:pPr>
      <w:r>
        <w:rPr>
          <w:b w:val="0"/>
          <w:bCs w:val="0"/>
          <w:lang w:val="vi-VN"/>
        </w:rPr>
        <w:t xml:space="preserve">- Vốn xây dựng cơ bản tập trung (phần vốn 30%): Tổng số kế hoạch năm 2024 được giao là </w:t>
      </w:r>
      <w:r>
        <w:rPr>
          <w:lang w:val="vi-VN"/>
        </w:rPr>
        <w:t>20.512</w:t>
      </w:r>
      <w:r>
        <w:rPr>
          <w:b w:val="0"/>
          <w:bCs w:val="0"/>
          <w:lang w:val="vi-VN"/>
        </w:rPr>
        <w:t xml:space="preserve"> triệu đồng. Lũy kế giá trị giải ngân, thanh toán đến thời điểm báo cáo là </w:t>
      </w:r>
      <w:r>
        <w:rPr>
          <w:lang w:val="vi-VN"/>
        </w:rPr>
        <w:t xml:space="preserve">19.644 </w:t>
      </w:r>
      <w:r>
        <w:rPr>
          <w:b w:val="0"/>
          <w:bCs w:val="0"/>
          <w:lang w:val="vi-VN"/>
        </w:rPr>
        <w:t>triệu đồng, đạt trên 96% kế hoạch vốn giao theo quyết định (kế hoạch điều hành thực tế). Ước giải ngân kế hoạch vốn năm 2024 đến 31/01/2025: 20.512 triệu đồng, đạt 100% kế hoạch vốn 2024.</w:t>
      </w:r>
    </w:p>
    <w:p>
      <w:pPr>
        <w:pStyle w:val="Heading1"/>
        <w:tabs>
          <w:tab w:val="left" w:pos="1257"/>
        </w:tabs>
        <w:spacing w:before="120" w:after="120"/>
        <w:ind w:left="0" w:firstLine="567"/>
        <w:rPr>
          <w:b w:val="0"/>
          <w:bCs w:val="0"/>
          <w:lang w:val="vi-VN"/>
        </w:rPr>
      </w:pPr>
      <w:r>
        <w:rPr>
          <w:b w:val="0"/>
          <w:bCs w:val="0"/>
          <w:lang w:val="vi-VN"/>
        </w:rPr>
        <w:t xml:space="preserve">- Vốn thu sử dụng đất: Tổng số kế hoạch vốn đầu tư năm 2024 được giao là </w:t>
      </w:r>
      <w:r>
        <w:rPr>
          <w:lang w:val="vi-VN"/>
        </w:rPr>
        <w:t>116.200</w:t>
      </w:r>
      <w:r>
        <w:rPr>
          <w:b w:val="0"/>
          <w:bCs w:val="0"/>
          <w:lang w:val="vi-VN"/>
        </w:rPr>
        <w:t xml:space="preserve"> triệu đồng. Lũy kế giá trị giải ngân, thanh toán đến thời điểm báo cáo là 4.860 triệu đồng, đạt 4% kế hoạch vốn theo quyết định giao, đạt 52% kế hoạch vốn điều hành thực tế, Ước giải ngân kế hoạch vốn năm 2024 đến 31/01/2025: 37.129 triệu đồng, đạt 32% kế hoạch vốn 2024 theo quyết định giao và đạt 100% kế hoạch điều hành thực tế</w:t>
      </w:r>
      <w:r>
        <w:rPr>
          <w:b w:val="0"/>
          <w:bCs w:val="0"/>
          <w:lang w:val="en-US"/>
        </w:rPr>
        <w:t xml:space="preserve"> (lý do đạt thấp: </w:t>
      </w:r>
      <w:r>
        <w:rPr>
          <w:b w:val="0"/>
          <w:bCs w:val="0"/>
          <w:lang w:val="vi-VN"/>
        </w:rPr>
        <w:t>Số vốn điều hành thực tế thấp hơn so KH vốn theo quyết định giao do nguồn thu từ sử dụng đất không đạt so với kế hoạch giao).</w:t>
      </w:r>
    </w:p>
    <w:p>
      <w:pPr>
        <w:pStyle w:val="Heading1"/>
        <w:tabs>
          <w:tab w:val="left" w:pos="1257"/>
        </w:tabs>
        <w:spacing w:before="120" w:after="120"/>
        <w:ind w:left="0" w:firstLine="567"/>
        <w:rPr>
          <w:b w:val="0"/>
          <w:bCs w:val="0"/>
          <w:lang w:val="en-US"/>
        </w:rPr>
      </w:pPr>
      <w:r>
        <w:rPr>
          <w:bCs w:val="0"/>
          <w:lang w:val="en-US"/>
        </w:rPr>
        <w:t>b) Vốn ngân sách do Tỉnh quản lý</w:t>
      </w:r>
    </w:p>
    <w:p>
      <w:pPr>
        <w:pStyle w:val="Heading1"/>
        <w:tabs>
          <w:tab w:val="left" w:pos="1257"/>
        </w:tabs>
        <w:spacing w:before="120" w:after="120"/>
        <w:ind w:left="0" w:firstLine="567"/>
        <w:rPr>
          <w:b w:val="0"/>
          <w:bCs w:val="0"/>
          <w:lang w:val="en-US"/>
        </w:rPr>
      </w:pPr>
      <w:r>
        <w:rPr>
          <w:b w:val="0"/>
          <w:bCs w:val="0"/>
          <w:lang w:val="en-US"/>
        </w:rPr>
        <w:t xml:space="preserve">Tổng nguồn vốn được giao năm 2024 là </w:t>
      </w:r>
      <w:r>
        <w:rPr>
          <w:lang w:val="en-US"/>
        </w:rPr>
        <w:t>640.229</w:t>
      </w:r>
      <w:r>
        <w:rPr>
          <w:b w:val="0"/>
          <w:bCs w:val="0"/>
          <w:lang w:val="en-US"/>
        </w:rPr>
        <w:t xml:space="preserve"> triệu đồng; tổng số giải ngân đến thời điểm báo cáo là: 124.347 triệu đồng; đạt 19% kế hoạch vốn theo quyết định giao, đạt 47% kế hoạch vốn điều hành thực tế; 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5</w:t>
      </w:r>
      <w:r>
        <w:rPr>
          <w:b w:val="0"/>
          <w:bCs w:val="0"/>
          <w:lang w:val="vi-VN"/>
        </w:rPr>
        <w:t xml:space="preserve">: </w:t>
      </w:r>
      <w:r>
        <w:rPr>
          <w:b w:val="0"/>
          <w:bCs w:val="0"/>
          <w:lang w:val="en-US"/>
        </w:rPr>
        <w:t>496.700</w:t>
      </w:r>
      <w:r>
        <w:rPr>
          <w:b w:val="0"/>
          <w:bCs w:val="0"/>
          <w:lang w:val="vi-VN"/>
        </w:rPr>
        <w:t xml:space="preserve"> triệu đồng, đạt </w:t>
      </w:r>
      <w:r>
        <w:rPr>
          <w:b w:val="0"/>
          <w:bCs w:val="0"/>
          <w:lang w:val="en-US"/>
        </w:rPr>
        <w:t>78</w:t>
      </w:r>
      <w:r>
        <w:rPr>
          <w:b w:val="0"/>
          <w:bCs w:val="0"/>
          <w:lang w:val="vi-VN"/>
        </w:rPr>
        <w:t>% kế hoạch vốn 202</w:t>
      </w:r>
      <w:r>
        <w:rPr>
          <w:b w:val="0"/>
          <w:bCs w:val="0"/>
          <w:lang w:val="en-US"/>
        </w:rPr>
        <w:t>4, trong đó:</w:t>
      </w:r>
    </w:p>
    <w:p>
      <w:pPr>
        <w:pStyle w:val="Heading1"/>
        <w:tabs>
          <w:tab w:val="left" w:pos="1257"/>
        </w:tabs>
        <w:spacing w:before="120" w:after="120"/>
        <w:ind w:left="0" w:firstLine="709"/>
        <w:rPr>
          <w:b w:val="0"/>
          <w:bCs w:val="0"/>
          <w:lang w:val="en-US"/>
        </w:rPr>
      </w:pPr>
      <w:r>
        <w:rPr>
          <w:b w:val="0"/>
          <w:bCs w:val="0"/>
          <w:lang w:val="en-US"/>
        </w:rPr>
        <w:t xml:space="preserve">- Vốn Ngân sách Trung ương ổn định dân cư phát triển KTXH vùng TĐC Thủy điện Sơn La: Năm 2024 được giao là </w:t>
      </w:r>
      <w:r>
        <w:rPr>
          <w:lang w:val="en-US"/>
        </w:rPr>
        <w:t>142.100</w:t>
      </w:r>
      <w:r>
        <w:rPr>
          <w:b w:val="0"/>
          <w:bCs w:val="0"/>
          <w:lang w:val="en-US"/>
        </w:rPr>
        <w:t xml:space="preserve"> triệu đồng. Lũy kế giá trị giải ngân, thanh toán đến thời điểm báo cáo là </w:t>
      </w:r>
      <w:r>
        <w:rPr>
          <w:lang w:val="en-US"/>
        </w:rPr>
        <w:t>54.082</w:t>
      </w:r>
      <w:r>
        <w:rPr>
          <w:b w:val="0"/>
          <w:bCs w:val="0"/>
          <w:lang w:val="en-US"/>
        </w:rPr>
        <w:t xml:space="preserve"> triệu đồng, đạt 38% kế hoạch vốn theo quyết định giao (kế hoạch điều hành thực tế). 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5</w:t>
      </w:r>
      <w:r>
        <w:rPr>
          <w:b w:val="0"/>
          <w:bCs w:val="0"/>
          <w:lang w:val="vi-VN"/>
        </w:rPr>
        <w:t xml:space="preserve">: </w:t>
      </w:r>
      <w:r>
        <w:rPr>
          <w:b w:val="0"/>
          <w:bCs w:val="0"/>
          <w:lang w:val="en-US"/>
        </w:rPr>
        <w:t>142.100</w:t>
      </w:r>
      <w:r>
        <w:rPr>
          <w:b w:val="0"/>
          <w:bCs w:val="0"/>
          <w:lang w:val="vi-VN"/>
        </w:rPr>
        <w:t xml:space="preserve"> triệu đồng, đạt </w:t>
      </w:r>
      <w:r>
        <w:rPr>
          <w:b w:val="0"/>
          <w:bCs w:val="0"/>
          <w:lang w:val="en-US"/>
        </w:rPr>
        <w:t>100</w:t>
      </w:r>
      <w:r>
        <w:rPr>
          <w:b w:val="0"/>
          <w:bCs w:val="0"/>
          <w:lang w:val="vi-VN"/>
        </w:rPr>
        <w:t>% kế hoạch vốn 202</w:t>
      </w:r>
      <w:r>
        <w:rPr>
          <w:b w:val="0"/>
          <w:bCs w:val="0"/>
          <w:lang w:val="en-US"/>
        </w:rPr>
        <w:t>4.</w:t>
      </w:r>
    </w:p>
    <w:p>
      <w:pPr>
        <w:pStyle w:val="Heading1"/>
        <w:tabs>
          <w:tab w:val="left" w:pos="1257"/>
        </w:tabs>
        <w:spacing w:before="120" w:after="120"/>
        <w:ind w:left="0" w:firstLine="567"/>
        <w:rPr>
          <w:b w:val="0"/>
          <w:bCs w:val="0"/>
          <w:lang w:val="en-US"/>
        </w:rPr>
      </w:pPr>
      <w:r>
        <w:rPr>
          <w:b w:val="0"/>
          <w:bCs w:val="0"/>
          <w:lang w:val="en-US"/>
        </w:rPr>
        <w:t xml:space="preserve">- Vốn NSTW thực hiện dự án bảo vệ và phát triển rừng: Năm 2024 được giao là </w:t>
      </w:r>
      <w:r>
        <w:rPr>
          <w:lang w:val="en-US"/>
        </w:rPr>
        <w:t>85</w:t>
      </w:r>
      <w:r>
        <w:rPr>
          <w:b w:val="0"/>
          <w:bCs w:val="0"/>
          <w:lang w:val="en-US"/>
        </w:rPr>
        <w:t xml:space="preserve"> triệu đồng, Lũy kế giá trị giải ngân, thanh toán đến thời điểm báo cáo là 43 triệu đồng, đạt 51% kế hoạch vốn theo quyết định giao (kế hoạch điều hành thực tế). 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5</w:t>
      </w:r>
      <w:r>
        <w:rPr>
          <w:b w:val="0"/>
          <w:bCs w:val="0"/>
          <w:lang w:val="vi-VN"/>
        </w:rPr>
        <w:t xml:space="preserve">: </w:t>
      </w:r>
      <w:r>
        <w:rPr>
          <w:b w:val="0"/>
          <w:bCs w:val="0"/>
          <w:lang w:val="en-US"/>
        </w:rPr>
        <w:t>85</w:t>
      </w:r>
      <w:r>
        <w:rPr>
          <w:b w:val="0"/>
          <w:bCs w:val="0"/>
          <w:lang w:val="vi-VN"/>
        </w:rPr>
        <w:t xml:space="preserve"> triệu đồng, đạt </w:t>
      </w:r>
      <w:r>
        <w:rPr>
          <w:b w:val="0"/>
          <w:bCs w:val="0"/>
          <w:lang w:val="en-US"/>
        </w:rPr>
        <w:t>100</w:t>
      </w:r>
      <w:r>
        <w:rPr>
          <w:b w:val="0"/>
          <w:bCs w:val="0"/>
          <w:lang w:val="vi-VN"/>
        </w:rPr>
        <w:t>% kế hoạch vốn 202</w:t>
      </w:r>
      <w:r>
        <w:rPr>
          <w:b w:val="0"/>
          <w:bCs w:val="0"/>
          <w:lang w:val="en-US"/>
        </w:rPr>
        <w:t>4.</w:t>
      </w:r>
    </w:p>
    <w:p>
      <w:pPr>
        <w:pStyle w:val="Heading1"/>
        <w:tabs>
          <w:tab w:val="left" w:pos="1257"/>
        </w:tabs>
        <w:spacing w:before="120" w:after="120"/>
        <w:ind w:left="0" w:firstLine="567"/>
        <w:rPr>
          <w:b w:val="0"/>
          <w:bCs w:val="0"/>
          <w:lang w:val="en-US"/>
        </w:rPr>
      </w:pPr>
      <w:r>
        <w:rPr>
          <w:b w:val="0"/>
          <w:bCs w:val="0"/>
          <w:lang w:val="en-US"/>
        </w:rPr>
        <w:lastRenderedPageBreak/>
        <w:t xml:space="preserve">- Vốn cân đối ngân sách địa phương (70%): Tổng số kế hoạch năm 2024 là </w:t>
      </w:r>
      <w:r>
        <w:rPr>
          <w:lang w:val="en-US"/>
        </w:rPr>
        <w:t>87.961</w:t>
      </w:r>
      <w:r>
        <w:rPr>
          <w:b w:val="0"/>
          <w:bCs w:val="0"/>
          <w:lang w:val="en-US"/>
        </w:rPr>
        <w:t xml:space="preserve"> triệu đồng. Lũy kế giá trị giải ngân, thanh toán đến thời điểm báo cáo là: </w:t>
      </w:r>
      <w:r>
        <w:rPr>
          <w:lang w:val="en-US"/>
        </w:rPr>
        <w:t>37.925</w:t>
      </w:r>
      <w:r>
        <w:rPr>
          <w:b w:val="0"/>
          <w:bCs w:val="0"/>
          <w:lang w:val="en-US"/>
        </w:rPr>
        <w:t xml:space="preserve"> triệu đồng, đạt 43% kế hoạch vốn theo quyết định giao (kế hoạch điều hành thực tế). 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5</w:t>
      </w:r>
      <w:r>
        <w:rPr>
          <w:b w:val="0"/>
          <w:bCs w:val="0"/>
          <w:lang w:val="vi-VN"/>
        </w:rPr>
        <w:t xml:space="preserve">: </w:t>
      </w:r>
      <w:r>
        <w:rPr>
          <w:b w:val="0"/>
          <w:bCs w:val="0"/>
          <w:lang w:val="en-US"/>
        </w:rPr>
        <w:t>80.324</w:t>
      </w:r>
      <w:r>
        <w:rPr>
          <w:b w:val="0"/>
          <w:bCs w:val="0"/>
          <w:lang w:val="vi-VN"/>
        </w:rPr>
        <w:t xml:space="preserve"> triệu đồng, đạt </w:t>
      </w:r>
      <w:r>
        <w:rPr>
          <w:b w:val="0"/>
          <w:bCs w:val="0"/>
          <w:lang w:val="en-US"/>
        </w:rPr>
        <w:t>100</w:t>
      </w:r>
      <w:r>
        <w:rPr>
          <w:b w:val="0"/>
          <w:bCs w:val="0"/>
          <w:lang w:val="vi-VN"/>
        </w:rPr>
        <w:t>% kế hoạch vốn 202</w:t>
      </w:r>
      <w:r>
        <w:rPr>
          <w:b w:val="0"/>
          <w:bCs w:val="0"/>
          <w:lang w:val="en-US"/>
        </w:rPr>
        <w:t>4.</w:t>
      </w:r>
    </w:p>
    <w:p>
      <w:pPr>
        <w:pStyle w:val="Heading1"/>
        <w:tabs>
          <w:tab w:val="left" w:pos="1257"/>
        </w:tabs>
        <w:spacing w:before="120" w:after="120"/>
        <w:ind w:left="0" w:firstLine="567"/>
        <w:rPr>
          <w:b w:val="0"/>
          <w:bCs w:val="0"/>
          <w:lang w:val="en-US"/>
        </w:rPr>
      </w:pPr>
      <w:r>
        <w:rPr>
          <w:b w:val="0"/>
          <w:bCs w:val="0"/>
          <w:lang w:val="en-US"/>
        </w:rPr>
        <w:t xml:space="preserve">- Vốn đầu tư từ tiền thu sử dụng đất: Tổng số kế hoạch vốn đầu tư năm 2024 được giao là </w:t>
      </w:r>
      <w:r>
        <w:rPr>
          <w:lang w:val="en-US"/>
        </w:rPr>
        <w:t>410.083</w:t>
      </w:r>
      <w:r>
        <w:rPr>
          <w:b w:val="0"/>
          <w:bCs w:val="0"/>
          <w:lang w:val="en-US"/>
        </w:rPr>
        <w:t xml:space="preserve"> triệu đồng, kế hoạch vốn điều hành thực tế: </w:t>
      </w:r>
      <w:r>
        <w:rPr>
          <w:lang w:val="en-US"/>
        </w:rPr>
        <w:t>32.297</w:t>
      </w:r>
      <w:r>
        <w:rPr>
          <w:b w:val="0"/>
          <w:bCs w:val="0"/>
          <w:lang w:val="en-US"/>
        </w:rPr>
        <w:t xml:space="preserve"> triệu đồng, Lũy kế giá trị giải ngân, thanh toán đến thời điểm báo cáo là 32.297 triệu đồng, đạt 8% kế hoạch vốn theo quyết định giao, đạt 100% kế hoạch vốn điều hành thực tế. 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5</w:t>
      </w:r>
      <w:r>
        <w:rPr>
          <w:b w:val="0"/>
          <w:bCs w:val="0"/>
          <w:lang w:val="vi-VN"/>
        </w:rPr>
        <w:t xml:space="preserve">: </w:t>
      </w:r>
      <w:r>
        <w:rPr>
          <w:b w:val="0"/>
          <w:bCs w:val="0"/>
          <w:lang w:val="en-US"/>
        </w:rPr>
        <w:t>266.554</w:t>
      </w:r>
      <w:r>
        <w:rPr>
          <w:b w:val="0"/>
          <w:bCs w:val="0"/>
          <w:lang w:val="vi-VN"/>
        </w:rPr>
        <w:t xml:space="preserve"> triệu đồng, đạt </w:t>
      </w:r>
      <w:r>
        <w:rPr>
          <w:b w:val="0"/>
          <w:bCs w:val="0"/>
          <w:lang w:val="en-US"/>
        </w:rPr>
        <w:t>65</w:t>
      </w:r>
      <w:r>
        <w:rPr>
          <w:b w:val="0"/>
          <w:bCs w:val="0"/>
          <w:lang w:val="vi-VN"/>
        </w:rPr>
        <w:t>% kế hoạch vốn 202</w:t>
      </w:r>
      <w:r>
        <w:rPr>
          <w:b w:val="0"/>
          <w:bCs w:val="0"/>
          <w:lang w:val="en-US"/>
        </w:rPr>
        <w:t xml:space="preserve">4 </w:t>
      </w:r>
      <w:r>
        <w:rPr>
          <w:b w:val="0"/>
          <w:bCs w:val="0"/>
          <w:lang w:val="vi-VN"/>
        </w:rPr>
        <w:t>và đạt 100% kế hoạch điều hành thực tế</w:t>
      </w:r>
      <w:r>
        <w:rPr>
          <w:b w:val="0"/>
          <w:bCs w:val="0"/>
          <w:lang w:val="en-US"/>
        </w:rPr>
        <w:t>. (lý do tỷ lệ giải ngân thấp do nguồn thu từ sử dụng đất của tỉnh không đạt so với kế hoạch giao).</w:t>
      </w:r>
    </w:p>
    <w:bookmarkEnd w:id="3"/>
    <w:p>
      <w:pPr>
        <w:pStyle w:val="Heading1"/>
        <w:tabs>
          <w:tab w:val="left" w:pos="1257"/>
        </w:tabs>
        <w:spacing w:before="120" w:after="120"/>
        <w:ind w:left="0" w:firstLine="567"/>
        <w:rPr>
          <w:b w:val="0"/>
          <w:bCs w:val="0"/>
          <w:lang w:val="en-US"/>
        </w:rPr>
      </w:pPr>
      <w:r>
        <w:rPr>
          <w:bCs w:val="0"/>
          <w:lang w:val="en-US"/>
        </w:rPr>
        <w:t>4.2. Vốn đầu tư các Chương trình MTQG</w:t>
      </w:r>
    </w:p>
    <w:p>
      <w:pPr>
        <w:pStyle w:val="Heading1"/>
        <w:tabs>
          <w:tab w:val="left" w:pos="709"/>
        </w:tabs>
        <w:spacing w:before="120" w:after="120"/>
        <w:ind w:left="0" w:firstLine="709"/>
        <w:rPr>
          <w:b w:val="0"/>
          <w:bCs w:val="0"/>
          <w:lang w:val="en-US"/>
        </w:rPr>
      </w:pPr>
      <w:r>
        <w:rPr>
          <w:b w:val="0"/>
          <w:bCs w:val="0"/>
          <w:lang w:val="en-US"/>
        </w:rPr>
        <w:t xml:space="preserve">Tổng nguồn vốn được giao năm 2024 là </w:t>
      </w:r>
      <w:r>
        <w:rPr>
          <w:lang w:val="en-US"/>
        </w:rPr>
        <w:t>35.778</w:t>
      </w:r>
      <w:r>
        <w:rPr>
          <w:b w:val="0"/>
          <w:bCs w:val="0"/>
          <w:lang w:val="en-US"/>
        </w:rPr>
        <w:t xml:space="preserve"> triệu đồng; Lũy kế giá trị giải ngân, thanh toán đến thời điểm báo cáo là: </w:t>
      </w:r>
      <w:r>
        <w:rPr>
          <w:lang w:val="en-US"/>
        </w:rPr>
        <w:t>17.367</w:t>
      </w:r>
      <w:r>
        <w:rPr>
          <w:b w:val="0"/>
          <w:bCs w:val="0"/>
          <w:lang w:val="en-US"/>
        </w:rPr>
        <w:t xml:space="preserve"> triệu đồng, đạt 49% kế hoạch vốn theo quyết định giao (kế hoạch điều hành thực tế); 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 xml:space="preserve">5 </w:t>
      </w:r>
      <w:r>
        <w:rPr>
          <w:b w:val="0"/>
          <w:bCs w:val="0"/>
          <w:lang w:val="vi-VN"/>
        </w:rPr>
        <w:t xml:space="preserve">đạt </w:t>
      </w:r>
      <w:r>
        <w:rPr>
          <w:b w:val="0"/>
          <w:bCs w:val="0"/>
          <w:lang w:val="en-US"/>
        </w:rPr>
        <w:t>100</w:t>
      </w:r>
      <w:r>
        <w:rPr>
          <w:b w:val="0"/>
          <w:bCs w:val="0"/>
          <w:lang w:val="vi-VN"/>
        </w:rPr>
        <w:t>% kế hoạch vốn 202</w:t>
      </w:r>
      <w:r>
        <w:rPr>
          <w:b w:val="0"/>
          <w:bCs w:val="0"/>
          <w:lang w:val="en-US"/>
        </w:rPr>
        <w:t xml:space="preserve">4. Trong đó: </w:t>
      </w:r>
    </w:p>
    <w:p>
      <w:pPr>
        <w:pStyle w:val="Heading1"/>
        <w:tabs>
          <w:tab w:val="left" w:pos="1257"/>
        </w:tabs>
        <w:spacing w:before="120" w:after="120"/>
        <w:ind w:left="0" w:firstLine="709"/>
        <w:rPr>
          <w:bCs w:val="0"/>
          <w:lang w:val="en-US"/>
        </w:rPr>
      </w:pPr>
      <w:r>
        <w:rPr>
          <w:bCs w:val="0"/>
          <w:lang w:val="en-US"/>
        </w:rPr>
        <w:t>a) Nguồn vốn TW giao do Thành phố quản lý:</w:t>
      </w:r>
      <w:r>
        <w:rPr>
          <w:b w:val="0"/>
          <w:bCs w:val="0"/>
          <w:lang w:val="en-US"/>
        </w:rPr>
        <w:t xml:space="preserve"> </w:t>
      </w:r>
      <w:r>
        <w:rPr>
          <w:b w:val="0"/>
          <w:lang w:val="en-US"/>
        </w:rPr>
        <w:t xml:space="preserve">Tổng kế hoạch giao năm 2024 là 27.821 triệu đồng </w:t>
      </w:r>
      <w:r>
        <w:rPr>
          <w:b w:val="0"/>
          <w:i/>
          <w:iCs/>
          <w:lang w:val="en-US"/>
        </w:rPr>
        <w:t xml:space="preserve">(Vốn kéo dài 3.363 triệu đồng; vốn năm 2024: 24.458 triệu đồng) </w:t>
      </w:r>
      <w:r>
        <w:rPr>
          <w:b w:val="0"/>
          <w:bCs w:val="0"/>
          <w:lang w:val="en-US"/>
        </w:rPr>
        <w:t>(kế hoạch điều hành thực tế)</w:t>
      </w:r>
      <w:r>
        <w:rPr>
          <w:b w:val="0"/>
          <w:lang w:val="en-US"/>
        </w:rPr>
        <w:t xml:space="preserve">; </w:t>
      </w:r>
      <w:r>
        <w:rPr>
          <w:b w:val="0"/>
          <w:bCs w:val="0"/>
          <w:lang w:val="en-US"/>
        </w:rPr>
        <w:t>Ước</w:t>
      </w:r>
      <w:r>
        <w:rPr>
          <w:b w:val="0"/>
          <w:bCs w:val="0"/>
          <w:lang w:val="vi-VN"/>
        </w:rPr>
        <w:t xml:space="preserve"> giải ngân kế hoạch vốn năm 202</w:t>
      </w:r>
      <w:r>
        <w:rPr>
          <w:b w:val="0"/>
          <w:bCs w:val="0"/>
          <w:lang w:val="en-US"/>
        </w:rPr>
        <w:t>4</w:t>
      </w:r>
      <w:r>
        <w:rPr>
          <w:b w:val="0"/>
          <w:bCs w:val="0"/>
          <w:lang w:val="vi-VN"/>
        </w:rPr>
        <w:t xml:space="preserve"> đến 31/01/202</w:t>
      </w:r>
      <w:r>
        <w:rPr>
          <w:b w:val="0"/>
          <w:bCs w:val="0"/>
          <w:lang w:val="en-US"/>
        </w:rPr>
        <w:t xml:space="preserve">5 </w:t>
      </w:r>
      <w:r>
        <w:rPr>
          <w:b w:val="0"/>
          <w:bCs w:val="0"/>
          <w:lang w:val="vi-VN"/>
        </w:rPr>
        <w:t xml:space="preserve">đạt </w:t>
      </w:r>
      <w:r>
        <w:rPr>
          <w:b w:val="0"/>
          <w:bCs w:val="0"/>
          <w:lang w:val="en-US"/>
        </w:rPr>
        <w:t>100</w:t>
      </w:r>
      <w:r>
        <w:rPr>
          <w:b w:val="0"/>
          <w:bCs w:val="0"/>
          <w:lang w:val="vi-VN"/>
        </w:rPr>
        <w:t>% kế hoạch vốn 202</w:t>
      </w:r>
      <w:r>
        <w:rPr>
          <w:b w:val="0"/>
          <w:bCs w:val="0"/>
          <w:lang w:val="en-US"/>
        </w:rPr>
        <w:t>4.</w:t>
      </w:r>
    </w:p>
    <w:p>
      <w:pPr>
        <w:tabs>
          <w:tab w:val="left" w:pos="0"/>
          <w:tab w:val="left" w:pos="709"/>
          <w:tab w:val="left" w:pos="851"/>
        </w:tabs>
        <w:spacing w:before="120" w:after="120"/>
        <w:ind w:firstLine="709"/>
        <w:jc w:val="both"/>
        <w:rPr>
          <w:bCs/>
          <w:spacing w:val="-8"/>
          <w:sz w:val="28"/>
          <w:szCs w:val="28"/>
          <w:lang w:val="en-US"/>
        </w:rPr>
      </w:pPr>
      <w:r>
        <w:rPr>
          <w:bCs/>
          <w:sz w:val="28"/>
          <w:szCs w:val="28"/>
          <w:lang w:val="en-US"/>
        </w:rPr>
        <w:t xml:space="preserve">- Chương trình mục tiêu quốc gia phát triển kinh tế - xã hội vùng đồng bào dân tộc thiểu số và miền núi: Tổng số giải ngân đến thời điểm báo cáo là </w:t>
      </w:r>
      <w:r>
        <w:rPr>
          <w:b/>
          <w:sz w:val="28"/>
          <w:szCs w:val="28"/>
          <w:lang w:val="en-US"/>
        </w:rPr>
        <w:t>10.330</w:t>
      </w:r>
      <w:r>
        <w:rPr>
          <w:bCs/>
          <w:spacing w:val="-8"/>
          <w:sz w:val="28"/>
          <w:szCs w:val="28"/>
          <w:lang w:val="en-US"/>
        </w:rPr>
        <w:t xml:space="preserve">/23.206 triệu đồng đạt 45% kế hoạch giao theo quyết định </w:t>
      </w:r>
      <w:r>
        <w:rPr>
          <w:bCs/>
          <w:sz w:val="28"/>
          <w:szCs w:val="28"/>
          <w:lang w:val="en-US"/>
        </w:rPr>
        <w:t>(kế hoạch điều hành thực tế)</w:t>
      </w:r>
      <w:r>
        <w:rPr>
          <w:bCs/>
          <w:spacing w:val="-8"/>
          <w:sz w:val="28"/>
          <w:szCs w:val="28"/>
          <w:lang w:val="en-US"/>
        </w:rPr>
        <w:t xml:space="preserve">; </w:t>
      </w:r>
      <w:r>
        <w:rPr>
          <w:sz w:val="28"/>
          <w:szCs w:val="28"/>
          <w:lang w:val="en-US"/>
        </w:rPr>
        <w:t>Ước</w:t>
      </w:r>
      <w:r>
        <w:rPr>
          <w:sz w:val="28"/>
          <w:szCs w:val="28"/>
          <w:lang w:val="vi-VN"/>
        </w:rPr>
        <w:t xml:space="preserve"> giải ngân kế hoạch vốn năm 202</w:t>
      </w:r>
      <w:r>
        <w:rPr>
          <w:sz w:val="28"/>
          <w:szCs w:val="28"/>
          <w:lang w:val="en-US"/>
        </w:rPr>
        <w:t>4</w:t>
      </w:r>
      <w:r>
        <w:rPr>
          <w:sz w:val="28"/>
          <w:szCs w:val="28"/>
          <w:lang w:val="vi-VN"/>
        </w:rPr>
        <w:t xml:space="preserve"> đến 31/01/202</w:t>
      </w:r>
      <w:r>
        <w:rPr>
          <w:sz w:val="28"/>
          <w:szCs w:val="28"/>
          <w:lang w:val="en-US"/>
        </w:rPr>
        <w:t>5</w:t>
      </w:r>
      <w:r>
        <w:rPr>
          <w:b/>
          <w:bCs/>
          <w:sz w:val="28"/>
          <w:szCs w:val="28"/>
          <w:lang w:val="en-US"/>
        </w:rPr>
        <w:t xml:space="preserve"> </w:t>
      </w:r>
      <w:r>
        <w:rPr>
          <w:sz w:val="28"/>
          <w:szCs w:val="28"/>
          <w:lang w:val="vi-VN"/>
        </w:rPr>
        <w:t xml:space="preserve">đạt </w:t>
      </w:r>
      <w:r>
        <w:rPr>
          <w:sz w:val="28"/>
          <w:szCs w:val="28"/>
          <w:lang w:val="en-US"/>
        </w:rPr>
        <w:t>100</w:t>
      </w:r>
      <w:r>
        <w:rPr>
          <w:sz w:val="28"/>
          <w:szCs w:val="28"/>
          <w:lang w:val="vi-VN"/>
        </w:rPr>
        <w:t>% kế hoạch vốn 202</w:t>
      </w:r>
      <w:r>
        <w:rPr>
          <w:sz w:val="28"/>
          <w:szCs w:val="28"/>
          <w:lang w:val="en-US"/>
        </w:rPr>
        <w:t>4.</w:t>
      </w:r>
    </w:p>
    <w:p>
      <w:pPr>
        <w:tabs>
          <w:tab w:val="left" w:pos="0"/>
          <w:tab w:val="left" w:pos="709"/>
          <w:tab w:val="left" w:pos="851"/>
        </w:tabs>
        <w:spacing w:before="120" w:after="120"/>
        <w:ind w:firstLine="709"/>
        <w:jc w:val="both"/>
        <w:rPr>
          <w:bCs/>
          <w:spacing w:val="-8"/>
          <w:sz w:val="28"/>
          <w:szCs w:val="28"/>
          <w:lang w:val="en-US"/>
        </w:rPr>
      </w:pPr>
      <w:r>
        <w:rPr>
          <w:bCs/>
          <w:spacing w:val="-8"/>
          <w:sz w:val="28"/>
          <w:szCs w:val="28"/>
          <w:lang w:val="en-US"/>
        </w:rPr>
        <w:t xml:space="preserve"> - Chương trình mục tiêu quốc gia xây dựng nông thôn mới: </w:t>
      </w:r>
      <w:r>
        <w:rPr>
          <w:bCs/>
          <w:sz w:val="28"/>
          <w:szCs w:val="28"/>
          <w:lang w:val="en-US"/>
        </w:rPr>
        <w:t>Tổng số giải ngân đến 15/10/2024 là</w:t>
      </w:r>
      <w:r>
        <w:rPr>
          <w:bCs/>
          <w:spacing w:val="-8"/>
          <w:sz w:val="28"/>
          <w:szCs w:val="28"/>
          <w:lang w:val="en-US"/>
        </w:rPr>
        <w:t xml:space="preserve">: 1.577/4.614 triệu đồng đạt 34% kế hoạch giao theo quyết định </w:t>
      </w:r>
      <w:r>
        <w:rPr>
          <w:bCs/>
          <w:sz w:val="28"/>
          <w:szCs w:val="28"/>
          <w:lang w:val="en-US"/>
        </w:rPr>
        <w:t>(kế hoạch điều hành thực tế)</w:t>
      </w:r>
      <w:r>
        <w:rPr>
          <w:bCs/>
          <w:spacing w:val="-8"/>
          <w:sz w:val="28"/>
          <w:szCs w:val="28"/>
          <w:lang w:val="en-US"/>
        </w:rPr>
        <w:t xml:space="preserve">; </w:t>
      </w:r>
      <w:r>
        <w:rPr>
          <w:sz w:val="28"/>
          <w:szCs w:val="28"/>
          <w:lang w:val="en-US"/>
        </w:rPr>
        <w:t>Ước</w:t>
      </w:r>
      <w:r>
        <w:rPr>
          <w:sz w:val="28"/>
          <w:szCs w:val="28"/>
          <w:lang w:val="vi-VN"/>
        </w:rPr>
        <w:t xml:space="preserve"> giải ngân kế hoạch vốn năm 202</w:t>
      </w:r>
      <w:r>
        <w:rPr>
          <w:sz w:val="28"/>
          <w:szCs w:val="28"/>
          <w:lang w:val="en-US"/>
        </w:rPr>
        <w:t>4</w:t>
      </w:r>
      <w:r>
        <w:rPr>
          <w:sz w:val="28"/>
          <w:szCs w:val="28"/>
          <w:lang w:val="vi-VN"/>
        </w:rPr>
        <w:t xml:space="preserve"> đến 31/01/202</w:t>
      </w:r>
      <w:r>
        <w:rPr>
          <w:sz w:val="28"/>
          <w:szCs w:val="28"/>
          <w:lang w:val="en-US"/>
        </w:rPr>
        <w:t>5</w:t>
      </w:r>
      <w:r>
        <w:rPr>
          <w:b/>
          <w:bCs/>
          <w:sz w:val="28"/>
          <w:szCs w:val="28"/>
          <w:lang w:val="en-US"/>
        </w:rPr>
        <w:t xml:space="preserve"> </w:t>
      </w:r>
      <w:r>
        <w:rPr>
          <w:sz w:val="28"/>
          <w:szCs w:val="28"/>
          <w:lang w:val="vi-VN"/>
        </w:rPr>
        <w:t xml:space="preserve">đạt </w:t>
      </w:r>
      <w:r>
        <w:rPr>
          <w:sz w:val="28"/>
          <w:szCs w:val="28"/>
          <w:lang w:val="en-US"/>
        </w:rPr>
        <w:t>100</w:t>
      </w:r>
      <w:r>
        <w:rPr>
          <w:sz w:val="28"/>
          <w:szCs w:val="28"/>
          <w:lang w:val="vi-VN"/>
        </w:rPr>
        <w:t>% kế hoạch vốn 202</w:t>
      </w:r>
      <w:r>
        <w:rPr>
          <w:sz w:val="28"/>
          <w:szCs w:val="28"/>
          <w:lang w:val="en-US"/>
        </w:rPr>
        <w:t>4.</w:t>
      </w:r>
    </w:p>
    <w:p>
      <w:pPr>
        <w:tabs>
          <w:tab w:val="left" w:pos="0"/>
          <w:tab w:val="left" w:pos="709"/>
          <w:tab w:val="left" w:pos="851"/>
        </w:tabs>
        <w:spacing w:before="120" w:after="120"/>
        <w:ind w:firstLine="709"/>
        <w:jc w:val="both"/>
        <w:rPr>
          <w:bCs/>
          <w:sz w:val="28"/>
          <w:szCs w:val="28"/>
          <w:lang w:val="en-US"/>
        </w:rPr>
      </w:pPr>
      <w:r>
        <w:rPr>
          <w:b/>
          <w:bCs/>
          <w:sz w:val="28"/>
          <w:szCs w:val="28"/>
          <w:lang w:val="en-US"/>
        </w:rPr>
        <w:t>b) Nguồn vốn TW giao do Tỉnh quản lý:</w:t>
      </w:r>
      <w:r>
        <w:rPr>
          <w:sz w:val="28"/>
          <w:szCs w:val="28"/>
          <w:lang w:val="en-US"/>
        </w:rPr>
        <w:t xml:space="preserve"> Tổng kế hoạch vốn giao năm 2024 là 7.958 triệu đồng </w:t>
      </w:r>
      <w:r>
        <w:rPr>
          <w:i/>
          <w:iCs/>
          <w:sz w:val="28"/>
          <w:szCs w:val="28"/>
          <w:lang w:val="en-US"/>
        </w:rPr>
        <w:t xml:space="preserve">(Vốn kéo dài 1.720 triệu đồng; vốn năm 2024: 6.237 triệu đồng); </w:t>
      </w:r>
      <w:r>
        <w:rPr>
          <w:bCs/>
          <w:sz w:val="28"/>
          <w:szCs w:val="28"/>
          <w:lang w:val="en-US"/>
        </w:rPr>
        <w:t xml:space="preserve">Tổng số giải ngân đến thời điểm báo cáo là: 5.460 triệu đồng đạt 69% kế hoạch giao theo quyết định (kế hoạch điều hành thực tế); </w:t>
      </w:r>
      <w:r>
        <w:rPr>
          <w:sz w:val="28"/>
          <w:szCs w:val="28"/>
          <w:lang w:val="en-US"/>
        </w:rPr>
        <w:t>Ước</w:t>
      </w:r>
      <w:r>
        <w:rPr>
          <w:sz w:val="28"/>
          <w:szCs w:val="28"/>
          <w:lang w:val="vi-VN"/>
        </w:rPr>
        <w:t xml:space="preserve"> giải ngân kế hoạch vốn năm 202</w:t>
      </w:r>
      <w:r>
        <w:rPr>
          <w:sz w:val="28"/>
          <w:szCs w:val="28"/>
          <w:lang w:val="en-US"/>
        </w:rPr>
        <w:t>4</w:t>
      </w:r>
      <w:r>
        <w:rPr>
          <w:sz w:val="28"/>
          <w:szCs w:val="28"/>
          <w:lang w:val="vi-VN"/>
        </w:rPr>
        <w:t xml:space="preserve"> đến 31/01/202</w:t>
      </w:r>
      <w:r>
        <w:rPr>
          <w:sz w:val="28"/>
          <w:szCs w:val="28"/>
          <w:lang w:val="en-US"/>
        </w:rPr>
        <w:t>5</w:t>
      </w:r>
      <w:r>
        <w:rPr>
          <w:b/>
          <w:bCs/>
          <w:sz w:val="28"/>
          <w:szCs w:val="28"/>
          <w:lang w:val="en-US"/>
        </w:rPr>
        <w:t xml:space="preserve"> </w:t>
      </w:r>
      <w:r>
        <w:rPr>
          <w:sz w:val="28"/>
          <w:szCs w:val="28"/>
          <w:lang w:val="vi-VN"/>
        </w:rPr>
        <w:t xml:space="preserve">đạt </w:t>
      </w:r>
      <w:r>
        <w:rPr>
          <w:sz w:val="28"/>
          <w:szCs w:val="28"/>
          <w:lang w:val="en-US"/>
        </w:rPr>
        <w:t>100</w:t>
      </w:r>
      <w:r>
        <w:rPr>
          <w:sz w:val="28"/>
          <w:szCs w:val="28"/>
          <w:lang w:val="vi-VN"/>
        </w:rPr>
        <w:t>% kế hoạch vốn 202</w:t>
      </w:r>
      <w:r>
        <w:rPr>
          <w:sz w:val="28"/>
          <w:szCs w:val="28"/>
          <w:lang w:val="en-US"/>
        </w:rPr>
        <w:t>4.</w:t>
      </w:r>
    </w:p>
    <w:p>
      <w:pPr>
        <w:pStyle w:val="Heading1"/>
        <w:tabs>
          <w:tab w:val="left" w:pos="1257"/>
        </w:tabs>
        <w:spacing w:before="120" w:after="120"/>
        <w:ind w:left="0" w:firstLine="567"/>
        <w:jc w:val="center"/>
        <w:rPr>
          <w:b w:val="0"/>
          <w:bCs w:val="0"/>
          <w:i/>
          <w:lang w:val="en-US"/>
        </w:rPr>
      </w:pPr>
      <w:r>
        <w:rPr>
          <w:b w:val="0"/>
          <w:bCs w:val="0"/>
          <w:i/>
          <w:lang w:val="en-US"/>
        </w:rPr>
        <w:t>(Có biểu chi tiết số 01; 02; 03; 04; 05 kèm theo)</w:t>
      </w:r>
    </w:p>
    <w:p>
      <w:pPr>
        <w:pStyle w:val="Heading1"/>
        <w:tabs>
          <w:tab w:val="left" w:pos="1257"/>
        </w:tabs>
        <w:spacing w:before="120"/>
        <w:ind w:left="0" w:firstLine="720"/>
        <w:rPr>
          <w:lang w:val="de-DE"/>
        </w:rPr>
      </w:pPr>
      <w:r>
        <w:rPr>
          <w:lang w:val="de-DE"/>
        </w:rPr>
        <w:t>5. Đáng giá chung</w:t>
      </w:r>
    </w:p>
    <w:p>
      <w:pPr>
        <w:pStyle w:val="Heading1"/>
        <w:tabs>
          <w:tab w:val="left" w:pos="1257"/>
        </w:tabs>
        <w:spacing w:before="120"/>
        <w:ind w:left="0" w:firstLine="720"/>
        <w:rPr>
          <w:spacing w:val="-4"/>
          <w:lang w:val="en-US"/>
        </w:rPr>
      </w:pPr>
      <w:r>
        <w:rPr>
          <w:lang w:val="de-DE"/>
        </w:rPr>
        <w:t xml:space="preserve">5.1. Kết </w:t>
      </w:r>
      <w:r>
        <w:t>quả</w:t>
      </w:r>
      <w:r>
        <w:rPr>
          <w:spacing w:val="-1"/>
        </w:rPr>
        <w:t xml:space="preserve"> </w:t>
      </w:r>
      <w:r>
        <w:t>đạt</w:t>
      </w:r>
      <w:r>
        <w:rPr>
          <w:spacing w:val="-2"/>
        </w:rPr>
        <w:t xml:space="preserve"> </w:t>
      </w:r>
      <w:r>
        <w:rPr>
          <w:spacing w:val="-4"/>
        </w:rPr>
        <w:t>được</w:t>
      </w:r>
    </w:p>
    <w:p>
      <w:pPr>
        <w:tabs>
          <w:tab w:val="left" w:pos="0"/>
        </w:tabs>
        <w:spacing w:before="120" w:after="120" w:line="252" w:lineRule="auto"/>
        <w:ind w:firstLine="720"/>
        <w:jc w:val="both"/>
        <w:rPr>
          <w:rFonts w:eastAsia="Calibri"/>
          <w:sz w:val="28"/>
          <w:szCs w:val="28"/>
        </w:rPr>
      </w:pPr>
      <w:r>
        <w:rPr>
          <w:spacing w:val="-4"/>
          <w:lang w:val="de-DE"/>
        </w:rPr>
        <w:t xml:space="preserve"> </w:t>
      </w:r>
      <w:r>
        <w:rPr>
          <w:rFonts w:eastAsia="Calibri"/>
          <w:sz w:val="28"/>
          <w:szCs w:val="28"/>
        </w:rPr>
        <w:t xml:space="preserve">- UBND thành phố Điện Biên Phủ đã </w:t>
      </w:r>
      <w:r>
        <w:rPr>
          <w:rFonts w:eastAsia="Calibri"/>
          <w:sz w:val="28"/>
          <w:szCs w:val="28"/>
          <w:lang w:val="en-US"/>
        </w:rPr>
        <w:t>lãnh đạo, chỉ đạo</w:t>
      </w:r>
      <w:r>
        <w:rPr>
          <w:rFonts w:eastAsia="Calibri"/>
          <w:sz w:val="28"/>
          <w:szCs w:val="28"/>
        </w:rPr>
        <w:t xml:space="preserve"> triển khai thực hiện kế hoạch vốn đầu tư năm 2024 được Hội đồng nhân dân tỉnh, Thành phố giao. </w:t>
      </w:r>
      <w:r>
        <w:rPr>
          <w:rFonts w:eastAsia="Calibri"/>
          <w:sz w:val="28"/>
          <w:szCs w:val="28"/>
        </w:rPr>
        <w:lastRenderedPageBreak/>
        <w:t xml:space="preserve">Thường xuyên kiểm tra, đôn đốc các Chủ đầu tư trong việc đẩy nhanh tiến độ thực hiện và giải ngân kế hoạch vốn. </w:t>
      </w:r>
    </w:p>
    <w:p>
      <w:pPr>
        <w:tabs>
          <w:tab w:val="left" w:pos="0"/>
        </w:tabs>
        <w:spacing w:before="120" w:after="120" w:line="252" w:lineRule="auto"/>
        <w:ind w:firstLine="720"/>
        <w:jc w:val="both"/>
        <w:rPr>
          <w:sz w:val="28"/>
          <w:szCs w:val="28"/>
        </w:rPr>
      </w:pPr>
      <w:r>
        <w:rPr>
          <w:sz w:val="28"/>
          <w:szCs w:val="28"/>
        </w:rPr>
        <w:t>- Công tác bố trí vốn kế hoạch vốn đầu tư năm 2024 cho các dự án, đảm bảo tuân thủ các nguyên tắc, tiêu chí phân bổ. Tập trung ưu tiên bố trí vốn cho các dự án chuyển tiếp để đẩy nhanh tiến độ hoàn thành các dự án. Tỷ lệ giải ngân vốn XDCBTT (30%) ngân sách thành phố quản lý đạt trên 95%.</w:t>
      </w:r>
    </w:p>
    <w:p>
      <w:pPr>
        <w:widowControl/>
        <w:tabs>
          <w:tab w:val="left" w:pos="0"/>
        </w:tabs>
        <w:autoSpaceDE/>
        <w:autoSpaceDN/>
        <w:spacing w:before="120" w:after="120" w:line="252" w:lineRule="auto"/>
        <w:ind w:firstLine="720"/>
        <w:jc w:val="both"/>
        <w:rPr>
          <w:rFonts w:eastAsia="Calibri"/>
          <w:sz w:val="28"/>
          <w:szCs w:val="28"/>
        </w:rPr>
      </w:pPr>
      <w:r>
        <w:rPr>
          <w:rFonts w:eastAsia="Calibri"/>
          <w:sz w:val="28"/>
          <w:szCs w:val="28"/>
        </w:rPr>
        <w:t xml:space="preserve">- Đối với nguồn thu sử dụng đất, trên cơ sở nguồn thu thực tế thành phố đã chủ động thực hiện sớm việc phân bổ vốn cho các chủ đầu tư để thực hiện giải ngân dự án đến nay </w:t>
      </w:r>
      <w:r>
        <w:rPr>
          <w:sz w:val="28"/>
          <w:szCs w:val="28"/>
        </w:rPr>
        <w:t>đạt 73% kế hoạch vốn điều hành thực tế</w:t>
      </w:r>
      <w:r>
        <w:rPr>
          <w:rFonts w:eastAsia="Calibri"/>
          <w:sz w:val="28"/>
          <w:szCs w:val="28"/>
        </w:rPr>
        <w:t>.</w:t>
      </w:r>
    </w:p>
    <w:p>
      <w:pPr>
        <w:pStyle w:val="ListParagraph"/>
        <w:tabs>
          <w:tab w:val="left" w:pos="0"/>
        </w:tabs>
        <w:spacing w:after="120"/>
        <w:ind w:left="0" w:firstLine="720"/>
        <w:rPr>
          <w:sz w:val="28"/>
          <w:szCs w:val="28"/>
          <w:lang w:val="vi-VN"/>
        </w:rPr>
      </w:pPr>
      <w:r>
        <w:rPr>
          <w:sz w:val="28"/>
          <w:szCs w:val="28"/>
          <w:lang w:val="vi-VN"/>
        </w:rPr>
        <w:t xml:space="preserve">- </w:t>
      </w:r>
      <w:r>
        <w:rPr>
          <w:sz w:val="28"/>
          <w:szCs w:val="28"/>
        </w:rPr>
        <w:t>Công tác kiểm tra, giám sát việc chấp hành về quản lý, sử dụng vốn đầu tư được tăng cường bằng việc định kỳ hằng tháng yêu cầu các đơn vị Chủ đầu tư báo cáo</w:t>
      </w:r>
      <w:r>
        <w:rPr>
          <w:spacing w:val="-4"/>
          <w:sz w:val="28"/>
          <w:szCs w:val="28"/>
        </w:rPr>
        <w:t xml:space="preserve"> </w:t>
      </w:r>
      <w:r>
        <w:rPr>
          <w:sz w:val="28"/>
          <w:szCs w:val="28"/>
        </w:rPr>
        <w:t>để</w:t>
      </w:r>
      <w:r>
        <w:rPr>
          <w:spacing w:val="-2"/>
          <w:sz w:val="28"/>
          <w:szCs w:val="28"/>
        </w:rPr>
        <w:t xml:space="preserve"> </w:t>
      </w:r>
      <w:r>
        <w:rPr>
          <w:sz w:val="28"/>
          <w:szCs w:val="28"/>
        </w:rPr>
        <w:t>chủ</w:t>
      </w:r>
      <w:r>
        <w:rPr>
          <w:spacing w:val="-3"/>
          <w:sz w:val="28"/>
          <w:szCs w:val="28"/>
        </w:rPr>
        <w:t xml:space="preserve"> </w:t>
      </w:r>
      <w:r>
        <w:rPr>
          <w:sz w:val="28"/>
          <w:szCs w:val="28"/>
        </w:rPr>
        <w:t>động</w:t>
      </w:r>
      <w:r>
        <w:rPr>
          <w:spacing w:val="-4"/>
          <w:sz w:val="28"/>
          <w:szCs w:val="28"/>
        </w:rPr>
        <w:t xml:space="preserve"> </w:t>
      </w:r>
      <w:r>
        <w:rPr>
          <w:sz w:val="28"/>
          <w:szCs w:val="28"/>
        </w:rPr>
        <w:t>bám</w:t>
      </w:r>
      <w:r>
        <w:rPr>
          <w:spacing w:val="-6"/>
          <w:sz w:val="28"/>
          <w:szCs w:val="28"/>
        </w:rPr>
        <w:t xml:space="preserve"> </w:t>
      </w:r>
      <w:r>
        <w:rPr>
          <w:sz w:val="28"/>
          <w:szCs w:val="28"/>
        </w:rPr>
        <w:t>sát tình hình thực</w:t>
      </w:r>
      <w:r>
        <w:rPr>
          <w:spacing w:val="-1"/>
          <w:sz w:val="28"/>
          <w:szCs w:val="28"/>
        </w:rPr>
        <w:t xml:space="preserve"> </w:t>
      </w:r>
      <w:r>
        <w:rPr>
          <w:sz w:val="28"/>
          <w:szCs w:val="28"/>
        </w:rPr>
        <w:t>hiện</w:t>
      </w:r>
      <w:r>
        <w:rPr>
          <w:spacing w:val="-1"/>
          <w:sz w:val="28"/>
          <w:szCs w:val="28"/>
        </w:rPr>
        <w:t xml:space="preserve"> </w:t>
      </w:r>
      <w:r>
        <w:rPr>
          <w:sz w:val="28"/>
          <w:szCs w:val="28"/>
        </w:rPr>
        <w:t>các</w:t>
      </w:r>
      <w:r>
        <w:rPr>
          <w:spacing w:val="-1"/>
          <w:sz w:val="28"/>
          <w:szCs w:val="28"/>
        </w:rPr>
        <w:t xml:space="preserve"> </w:t>
      </w:r>
      <w:r>
        <w:rPr>
          <w:sz w:val="28"/>
          <w:szCs w:val="28"/>
        </w:rPr>
        <w:t>dự</w:t>
      </w:r>
      <w:r>
        <w:rPr>
          <w:spacing w:val="-3"/>
          <w:sz w:val="28"/>
          <w:szCs w:val="28"/>
        </w:rPr>
        <w:t xml:space="preserve"> </w:t>
      </w:r>
      <w:r>
        <w:rPr>
          <w:sz w:val="28"/>
          <w:szCs w:val="28"/>
        </w:rPr>
        <w:t>án</w:t>
      </w:r>
      <w:r>
        <w:rPr>
          <w:spacing w:val="-3"/>
          <w:sz w:val="28"/>
          <w:szCs w:val="28"/>
        </w:rPr>
        <w:t xml:space="preserve"> </w:t>
      </w:r>
      <w:r>
        <w:rPr>
          <w:sz w:val="28"/>
          <w:szCs w:val="28"/>
        </w:rPr>
        <w:t>để</w:t>
      </w:r>
      <w:r>
        <w:rPr>
          <w:spacing w:val="-1"/>
          <w:sz w:val="28"/>
          <w:szCs w:val="28"/>
        </w:rPr>
        <w:t xml:space="preserve"> </w:t>
      </w:r>
      <w:r>
        <w:rPr>
          <w:sz w:val="28"/>
          <w:szCs w:val="28"/>
        </w:rPr>
        <w:t>kịp thời chỉ</w:t>
      </w:r>
      <w:r>
        <w:rPr>
          <w:spacing w:val="-1"/>
          <w:sz w:val="28"/>
          <w:szCs w:val="28"/>
        </w:rPr>
        <w:t xml:space="preserve"> </w:t>
      </w:r>
      <w:r>
        <w:rPr>
          <w:sz w:val="28"/>
          <w:szCs w:val="28"/>
        </w:rPr>
        <w:t>đạo tháo gỡ các khó khăn, vướng mắc, thường xuyên đôn đốc, nhắc nhở đẩy nhanh tiến độ thực hiện cũng như giải ngân vốn vốn đầu tư</w:t>
      </w:r>
      <w:r>
        <w:rPr>
          <w:sz w:val="28"/>
          <w:szCs w:val="28"/>
          <w:lang w:val="vi-VN"/>
        </w:rPr>
        <w:t>.</w:t>
      </w:r>
    </w:p>
    <w:p>
      <w:pPr>
        <w:tabs>
          <w:tab w:val="left" w:pos="0"/>
        </w:tabs>
        <w:spacing w:before="120"/>
        <w:ind w:firstLine="720"/>
        <w:jc w:val="both"/>
        <w:rPr>
          <w:sz w:val="28"/>
          <w:szCs w:val="28"/>
        </w:rPr>
      </w:pPr>
      <w:r>
        <w:rPr>
          <w:b/>
          <w:bCs/>
          <w:sz w:val="28"/>
          <w:szCs w:val="28"/>
          <w:lang w:val="en-US"/>
        </w:rPr>
        <w:t>5.2</w:t>
      </w:r>
      <w:r>
        <w:rPr>
          <w:b/>
          <w:bCs/>
          <w:sz w:val="28"/>
          <w:szCs w:val="28"/>
        </w:rPr>
        <w:t>. Khó</w:t>
      </w:r>
      <w:r>
        <w:rPr>
          <w:b/>
          <w:bCs/>
          <w:spacing w:val="-1"/>
          <w:sz w:val="28"/>
          <w:szCs w:val="28"/>
        </w:rPr>
        <w:t xml:space="preserve"> </w:t>
      </w:r>
      <w:r>
        <w:rPr>
          <w:b/>
          <w:bCs/>
          <w:sz w:val="28"/>
          <w:szCs w:val="28"/>
        </w:rPr>
        <w:t>khăn,</w:t>
      </w:r>
      <w:r>
        <w:rPr>
          <w:b/>
          <w:bCs/>
          <w:spacing w:val="-4"/>
          <w:sz w:val="28"/>
          <w:szCs w:val="28"/>
        </w:rPr>
        <w:t xml:space="preserve"> </w:t>
      </w:r>
      <w:r>
        <w:rPr>
          <w:b/>
          <w:bCs/>
          <w:sz w:val="28"/>
          <w:szCs w:val="28"/>
        </w:rPr>
        <w:t>vướng</w:t>
      </w:r>
      <w:r>
        <w:rPr>
          <w:b/>
          <w:bCs/>
          <w:spacing w:val="-1"/>
          <w:sz w:val="28"/>
          <w:szCs w:val="28"/>
        </w:rPr>
        <w:t xml:space="preserve"> </w:t>
      </w:r>
      <w:r>
        <w:rPr>
          <w:b/>
          <w:bCs/>
          <w:sz w:val="28"/>
          <w:szCs w:val="28"/>
        </w:rPr>
        <w:t>mắc, tồn</w:t>
      </w:r>
      <w:r>
        <w:rPr>
          <w:b/>
          <w:bCs/>
          <w:spacing w:val="-2"/>
          <w:sz w:val="28"/>
          <w:szCs w:val="28"/>
        </w:rPr>
        <w:t xml:space="preserve"> </w:t>
      </w:r>
      <w:r>
        <w:rPr>
          <w:b/>
          <w:bCs/>
          <w:sz w:val="28"/>
          <w:szCs w:val="28"/>
        </w:rPr>
        <w:t>tại,</w:t>
      </w:r>
      <w:r>
        <w:rPr>
          <w:b/>
          <w:bCs/>
          <w:spacing w:val="-1"/>
          <w:sz w:val="28"/>
          <w:szCs w:val="28"/>
        </w:rPr>
        <w:t xml:space="preserve"> </w:t>
      </w:r>
      <w:r>
        <w:rPr>
          <w:b/>
          <w:bCs/>
          <w:sz w:val="28"/>
          <w:szCs w:val="28"/>
        </w:rPr>
        <w:t>hạn</w:t>
      </w:r>
      <w:r>
        <w:rPr>
          <w:b/>
          <w:bCs/>
          <w:spacing w:val="-1"/>
          <w:sz w:val="28"/>
          <w:szCs w:val="28"/>
        </w:rPr>
        <w:t xml:space="preserve"> </w:t>
      </w:r>
      <w:r>
        <w:rPr>
          <w:b/>
          <w:bCs/>
          <w:spacing w:val="-5"/>
          <w:sz w:val="28"/>
          <w:szCs w:val="28"/>
        </w:rPr>
        <w:t>chế</w:t>
      </w:r>
    </w:p>
    <w:p>
      <w:pPr>
        <w:spacing w:before="120" w:line="18" w:lineRule="atLeast"/>
        <w:ind w:firstLine="709"/>
        <w:jc w:val="both"/>
        <w:rPr>
          <w:rFonts w:eastAsia="Calibri"/>
          <w:bCs/>
          <w:noProof/>
          <w:spacing w:val="-4"/>
          <w:sz w:val="28"/>
          <w:szCs w:val="28"/>
          <w:lang w:val="es-CO"/>
        </w:rPr>
      </w:pPr>
      <w:r>
        <w:rPr>
          <w:sz w:val="28"/>
          <w:szCs w:val="28"/>
        </w:rPr>
        <w:t>- Đối với các dự án đầu tư từ nguồn thu sử dụng đất: Đến nay các dự án cơ bản đã có khối lượng hoàn thành. Tuy nhiên, nguồn thu từ sử dụng đất rất hạn chế, đặc biệt chưa thu được tiền từ nguồn đấu giá đất nên không có vốn bố trí để thực hiện giải ngân thanh toán.</w:t>
      </w:r>
      <w:r>
        <w:rPr>
          <w:rFonts w:eastAsia="Calibri"/>
          <w:bCs/>
          <w:spacing w:val="-4"/>
          <w:sz w:val="28"/>
          <w:szCs w:val="28"/>
          <w:lang w:val="es-CO"/>
        </w:rPr>
        <w:t xml:space="preserve"> Tỷ lệ giải ngân vốn đầu tư từ nguồn thu sử dụng đất</w:t>
      </w:r>
      <w:r>
        <w:rPr>
          <w:rFonts w:eastAsia="Calibri"/>
          <w:spacing w:val="-4"/>
          <w:sz w:val="28"/>
          <w:szCs w:val="28"/>
          <w:lang w:val="es-CO"/>
        </w:rPr>
        <w:t xml:space="preserve"> (vốn NS tỉnh quản lý); kế hoạch vốn giao (vốn NS thành phố) đạt thấp.</w:t>
      </w:r>
    </w:p>
    <w:p>
      <w:pPr>
        <w:pStyle w:val="BodyText"/>
        <w:spacing w:before="100"/>
        <w:ind w:left="0" w:firstLine="720"/>
      </w:pPr>
      <w:r>
        <w:t>- Công tác chuẩn bị đầu tư, thủ tục đầu tư cho các dự án tại một số đơn vị còn chưa tốt, thiếu chủ động dẫn đến một số dự án được giao kế hoạch nhưng vẫn chưa lựa chọn nhà thầu để triển khai thi công, giải ngân. Chất lượng một số đơn vị nhà thầu,</w:t>
      </w:r>
      <w:r>
        <w:rPr>
          <w:spacing w:val="2"/>
        </w:rPr>
        <w:t xml:space="preserve"> </w:t>
      </w:r>
      <w:r>
        <w:t>đơn</w:t>
      </w:r>
      <w:r>
        <w:rPr>
          <w:spacing w:val="3"/>
        </w:rPr>
        <w:t xml:space="preserve"> </w:t>
      </w:r>
      <w:r>
        <w:t>vị</w:t>
      </w:r>
      <w:r>
        <w:rPr>
          <w:spacing w:val="4"/>
        </w:rPr>
        <w:t xml:space="preserve"> </w:t>
      </w:r>
      <w:r>
        <w:t>tư</w:t>
      </w:r>
      <w:r>
        <w:rPr>
          <w:spacing w:val="2"/>
        </w:rPr>
        <w:t xml:space="preserve"> </w:t>
      </w:r>
      <w:r>
        <w:t>vấn</w:t>
      </w:r>
      <w:r>
        <w:rPr>
          <w:spacing w:val="3"/>
        </w:rPr>
        <w:t xml:space="preserve"> </w:t>
      </w:r>
      <w:r>
        <w:t>chưa</w:t>
      </w:r>
      <w:r>
        <w:rPr>
          <w:spacing w:val="3"/>
        </w:rPr>
        <w:t xml:space="preserve"> </w:t>
      </w:r>
      <w:r>
        <w:t>đảm</w:t>
      </w:r>
      <w:r>
        <w:rPr>
          <w:spacing w:val="-2"/>
        </w:rPr>
        <w:t xml:space="preserve"> </w:t>
      </w:r>
      <w:r>
        <w:t>bảo,</w:t>
      </w:r>
      <w:r>
        <w:rPr>
          <w:spacing w:val="2"/>
        </w:rPr>
        <w:t xml:space="preserve"> </w:t>
      </w:r>
      <w:r>
        <w:t>hồ</w:t>
      </w:r>
      <w:r>
        <w:rPr>
          <w:spacing w:val="4"/>
        </w:rPr>
        <w:t xml:space="preserve"> </w:t>
      </w:r>
      <w:r>
        <w:t>sơ</w:t>
      </w:r>
      <w:r>
        <w:rPr>
          <w:spacing w:val="3"/>
        </w:rPr>
        <w:t xml:space="preserve"> </w:t>
      </w:r>
      <w:r>
        <w:t>phải</w:t>
      </w:r>
      <w:r>
        <w:rPr>
          <w:spacing w:val="3"/>
        </w:rPr>
        <w:t xml:space="preserve"> </w:t>
      </w:r>
      <w:r>
        <w:t>chỉnh</w:t>
      </w:r>
      <w:r>
        <w:rPr>
          <w:spacing w:val="3"/>
        </w:rPr>
        <w:t xml:space="preserve"> </w:t>
      </w:r>
      <w:r>
        <w:t>sửa,</w:t>
      </w:r>
      <w:r>
        <w:rPr>
          <w:spacing w:val="2"/>
        </w:rPr>
        <w:t xml:space="preserve"> </w:t>
      </w:r>
      <w:r>
        <w:t>ảnh</w:t>
      </w:r>
      <w:r>
        <w:rPr>
          <w:spacing w:val="3"/>
        </w:rPr>
        <w:t xml:space="preserve"> </w:t>
      </w:r>
      <w:r>
        <w:t>hưởng</w:t>
      </w:r>
      <w:r>
        <w:rPr>
          <w:spacing w:val="3"/>
        </w:rPr>
        <w:t xml:space="preserve"> </w:t>
      </w:r>
      <w:r>
        <w:t>tới</w:t>
      </w:r>
      <w:r>
        <w:rPr>
          <w:spacing w:val="3"/>
        </w:rPr>
        <w:t xml:space="preserve"> </w:t>
      </w:r>
      <w:r>
        <w:t>thời</w:t>
      </w:r>
      <w:r>
        <w:rPr>
          <w:spacing w:val="3"/>
        </w:rPr>
        <w:t xml:space="preserve"> </w:t>
      </w:r>
      <w:r>
        <w:t>gian</w:t>
      </w:r>
      <w:r>
        <w:rPr>
          <w:spacing w:val="5"/>
        </w:rPr>
        <w:t xml:space="preserve"> </w:t>
      </w:r>
      <w:r>
        <w:rPr>
          <w:spacing w:val="-4"/>
        </w:rPr>
        <w:t>thực</w:t>
      </w:r>
      <w:r>
        <w:t xml:space="preserve"> hiện dự án; một số Chủ đầu tư chưa chủ động trong công tác nghiệm thu, thanh toán khối lượng hoàn thành; chưa chủ động hoàn thiện hồ sơ, thủ tục thanh toán nợ xây dựng cơ bản dẫn đến một số dự án chưa đáp ứng tiến độ giải ngân so với kế hoạch vốn giao.</w:t>
      </w:r>
    </w:p>
    <w:p>
      <w:pPr>
        <w:pStyle w:val="BodyText"/>
        <w:spacing w:before="100"/>
        <w:ind w:left="0" w:firstLine="720"/>
      </w:pPr>
      <w:r>
        <w:t xml:space="preserve">- Công tác đền bù giải phòng mặt bằng, đặc biệt tại các dự án có quy mô lớn còn nhiều vướng mắc đến nay vẫn chưa tháo gỡ được triệt </w:t>
      </w:r>
      <w:r>
        <w:rPr>
          <w:lang w:val="en-US"/>
        </w:rPr>
        <w:t>đã</w:t>
      </w:r>
      <w:r>
        <w:t xml:space="preserve"> làm ảnh hưởng tới tiến độ triển khai thi công các dự án. </w:t>
      </w:r>
    </w:p>
    <w:p>
      <w:pPr>
        <w:pStyle w:val="BodyText"/>
        <w:ind w:left="0" w:firstLine="720"/>
        <w:rPr>
          <w:b/>
          <w:bCs/>
        </w:rPr>
      </w:pPr>
      <w:r>
        <w:rPr>
          <w:b/>
          <w:bCs/>
          <w:lang w:val="en-US"/>
        </w:rPr>
        <w:t>5.3</w:t>
      </w:r>
      <w:r>
        <w:rPr>
          <w:b/>
          <w:bCs/>
        </w:rPr>
        <w:t>. Nguyên nhân tồn tại, hạn chế</w:t>
      </w:r>
    </w:p>
    <w:p>
      <w:pPr>
        <w:pStyle w:val="BodyText"/>
        <w:ind w:left="0" w:firstLine="720"/>
        <w:rPr>
          <w:b/>
          <w:bCs/>
          <w:i/>
        </w:rPr>
      </w:pPr>
      <w:r>
        <w:rPr>
          <w:b/>
          <w:bCs/>
          <w:i/>
          <w:lang w:val="en-US"/>
        </w:rPr>
        <w:t>a)</w:t>
      </w:r>
      <w:r>
        <w:rPr>
          <w:b/>
          <w:bCs/>
          <w:i/>
        </w:rPr>
        <w:t xml:space="preserve"> Nguyên nhân khách quan</w:t>
      </w:r>
    </w:p>
    <w:p>
      <w:pPr>
        <w:pStyle w:val="BodyText"/>
        <w:spacing w:before="100"/>
        <w:ind w:left="0" w:firstLine="720"/>
        <w:rPr>
          <w:spacing w:val="-4"/>
        </w:rPr>
      </w:pPr>
      <w:r>
        <w:rPr>
          <w:spacing w:val="-4"/>
        </w:rPr>
        <w:t>- Năm 2024, tiếp tục là năm kinh tế trong nước còn nhiều khó khăn thách thức, nhu cầu tiêu thụ hàng hoá sụt giảm, các doanh nghiệp phải đối mặt với sức ép chi phí lớn khi giá cả hàng hoá, dịch vụ, chi phí đầu vào có xu hướng leo thang.</w:t>
      </w:r>
    </w:p>
    <w:p>
      <w:pPr>
        <w:pStyle w:val="BodyText"/>
        <w:spacing w:before="100"/>
        <w:ind w:left="0" w:firstLine="720"/>
      </w:pPr>
      <w:r>
        <w:t>- Điều kiện thời tiết trên địa bàn diễn biến phức tạp, mùa mưa kéo dài đã ảnh hưởng không nhỏ đến việc triển khai thi công các công trình dự án.</w:t>
      </w:r>
    </w:p>
    <w:p>
      <w:pPr>
        <w:pStyle w:val="BodyText"/>
        <w:ind w:left="0" w:firstLine="720"/>
      </w:pPr>
      <w:r>
        <w:t xml:space="preserve">- Thị trường bất động sản trên địa bàn những tháng đầu năm 2024 đã trở lại song chưa đáng kể; việc tổ chức đấu giá quyền sử dụng đất một số dự án đô thị </w:t>
      </w:r>
      <w:r>
        <w:lastRenderedPageBreak/>
        <w:t xml:space="preserve">trên địa bàn </w:t>
      </w:r>
      <w:r>
        <w:rPr>
          <w:color w:val="FF0000"/>
        </w:rPr>
        <w:t xml:space="preserve">thành phố theo phân cấp </w:t>
      </w:r>
      <w:r>
        <w:t>chưa thực hiện được dẫn đến nguồn thu sử dụng đất không đạt kế hoạch giao.</w:t>
      </w:r>
    </w:p>
    <w:p>
      <w:pPr>
        <w:pStyle w:val="BodyText"/>
        <w:ind w:left="0" w:firstLine="720"/>
        <w:rPr>
          <w:b/>
          <w:bCs/>
          <w:i/>
        </w:rPr>
      </w:pPr>
      <w:r>
        <w:rPr>
          <w:b/>
          <w:bCs/>
          <w:i/>
          <w:lang w:val="en-US"/>
        </w:rPr>
        <w:t>b) Nguyên nhân</w:t>
      </w:r>
      <w:r>
        <w:rPr>
          <w:b/>
          <w:bCs/>
          <w:i/>
          <w:spacing w:val="-3"/>
        </w:rPr>
        <w:t xml:space="preserve"> </w:t>
      </w:r>
      <w:r>
        <w:rPr>
          <w:b/>
          <w:bCs/>
          <w:i/>
        </w:rPr>
        <w:t>chủ</w:t>
      </w:r>
      <w:r>
        <w:rPr>
          <w:b/>
          <w:bCs/>
          <w:i/>
          <w:spacing w:val="-5"/>
        </w:rPr>
        <w:t xml:space="preserve"> </w:t>
      </w:r>
      <w:r>
        <w:rPr>
          <w:b/>
          <w:bCs/>
          <w:i/>
          <w:spacing w:val="-4"/>
        </w:rPr>
        <w:t>quan</w:t>
      </w:r>
    </w:p>
    <w:p>
      <w:pPr>
        <w:pStyle w:val="ListParagraph"/>
        <w:numPr>
          <w:ilvl w:val="0"/>
          <w:numId w:val="3"/>
        </w:numPr>
        <w:tabs>
          <w:tab w:val="left" w:pos="1134"/>
        </w:tabs>
        <w:ind w:firstLine="720"/>
        <w:rPr>
          <w:sz w:val="28"/>
        </w:rPr>
      </w:pPr>
      <w:r>
        <w:rPr>
          <w:sz w:val="28"/>
        </w:rPr>
        <w:t>Công</w:t>
      </w:r>
      <w:r>
        <w:rPr>
          <w:spacing w:val="-10"/>
          <w:sz w:val="28"/>
        </w:rPr>
        <w:t xml:space="preserve"> </w:t>
      </w:r>
      <w:r>
        <w:rPr>
          <w:sz w:val="28"/>
        </w:rPr>
        <w:t>tác</w:t>
      </w:r>
      <w:r>
        <w:rPr>
          <w:spacing w:val="-11"/>
          <w:sz w:val="28"/>
        </w:rPr>
        <w:t xml:space="preserve"> </w:t>
      </w:r>
      <w:r>
        <w:rPr>
          <w:sz w:val="28"/>
        </w:rPr>
        <w:t>lãnh</w:t>
      </w:r>
      <w:r>
        <w:rPr>
          <w:spacing w:val="-10"/>
          <w:sz w:val="28"/>
        </w:rPr>
        <w:t xml:space="preserve"> </w:t>
      </w:r>
      <w:r>
        <w:rPr>
          <w:sz w:val="28"/>
        </w:rPr>
        <w:t>đạo,</w:t>
      </w:r>
      <w:r>
        <w:rPr>
          <w:spacing w:val="-11"/>
          <w:sz w:val="28"/>
        </w:rPr>
        <w:t xml:space="preserve"> </w:t>
      </w:r>
      <w:r>
        <w:rPr>
          <w:sz w:val="28"/>
        </w:rPr>
        <w:t>chỉ</w:t>
      </w:r>
      <w:r>
        <w:rPr>
          <w:spacing w:val="-10"/>
          <w:sz w:val="28"/>
        </w:rPr>
        <w:t xml:space="preserve"> </w:t>
      </w:r>
      <w:r>
        <w:rPr>
          <w:sz w:val="28"/>
        </w:rPr>
        <w:t>đạo</w:t>
      </w:r>
      <w:r>
        <w:rPr>
          <w:spacing w:val="-10"/>
          <w:sz w:val="28"/>
        </w:rPr>
        <w:t xml:space="preserve"> </w:t>
      </w:r>
      <w:r>
        <w:rPr>
          <w:sz w:val="28"/>
        </w:rPr>
        <w:t>điều</w:t>
      </w:r>
      <w:r>
        <w:rPr>
          <w:spacing w:val="-10"/>
          <w:sz w:val="28"/>
        </w:rPr>
        <w:t xml:space="preserve"> </w:t>
      </w:r>
      <w:r>
        <w:rPr>
          <w:sz w:val="28"/>
        </w:rPr>
        <w:t>hành</w:t>
      </w:r>
      <w:r>
        <w:rPr>
          <w:spacing w:val="-10"/>
          <w:sz w:val="28"/>
        </w:rPr>
        <w:t xml:space="preserve"> </w:t>
      </w:r>
      <w:r>
        <w:rPr>
          <w:sz w:val="28"/>
        </w:rPr>
        <w:t>thực</w:t>
      </w:r>
      <w:r>
        <w:rPr>
          <w:spacing w:val="-13"/>
          <w:sz w:val="28"/>
        </w:rPr>
        <w:t xml:space="preserve"> </w:t>
      </w:r>
      <w:r>
        <w:rPr>
          <w:sz w:val="28"/>
        </w:rPr>
        <w:t>hiện</w:t>
      </w:r>
      <w:r>
        <w:rPr>
          <w:spacing w:val="-10"/>
          <w:sz w:val="28"/>
        </w:rPr>
        <w:t xml:space="preserve"> </w:t>
      </w:r>
      <w:r>
        <w:rPr>
          <w:sz w:val="28"/>
        </w:rPr>
        <w:t>kế</w:t>
      </w:r>
      <w:r>
        <w:rPr>
          <w:spacing w:val="-11"/>
          <w:sz w:val="28"/>
        </w:rPr>
        <w:t xml:space="preserve"> </w:t>
      </w:r>
      <w:r>
        <w:rPr>
          <w:sz w:val="28"/>
        </w:rPr>
        <w:t>hoạch</w:t>
      </w:r>
      <w:r>
        <w:rPr>
          <w:spacing w:val="-10"/>
          <w:sz w:val="28"/>
        </w:rPr>
        <w:t xml:space="preserve"> </w:t>
      </w:r>
      <w:r>
        <w:rPr>
          <w:sz w:val="28"/>
        </w:rPr>
        <w:t>vốn đầu tư</w:t>
      </w:r>
      <w:r>
        <w:rPr>
          <w:spacing w:val="-10"/>
          <w:sz w:val="28"/>
        </w:rPr>
        <w:t xml:space="preserve"> </w:t>
      </w:r>
      <w:r>
        <w:rPr>
          <w:sz w:val="28"/>
        </w:rPr>
        <w:t>tại</w:t>
      </w:r>
      <w:r>
        <w:rPr>
          <w:spacing w:val="-6"/>
          <w:sz w:val="28"/>
        </w:rPr>
        <w:t xml:space="preserve"> </w:t>
      </w:r>
      <w:r>
        <w:rPr>
          <w:sz w:val="28"/>
        </w:rPr>
        <w:t>một</w:t>
      </w:r>
      <w:r>
        <w:rPr>
          <w:spacing w:val="-10"/>
          <w:sz w:val="28"/>
        </w:rPr>
        <w:t xml:space="preserve"> </w:t>
      </w:r>
      <w:r>
        <w:rPr>
          <w:sz w:val="28"/>
        </w:rPr>
        <w:t>số cơ quan, đơn vị chưa được quan tâm, chưa quyết liệt. Đặt biệt là trong công tác giải ngân</w:t>
      </w:r>
      <w:r>
        <w:rPr>
          <w:spacing w:val="-10"/>
          <w:sz w:val="28"/>
        </w:rPr>
        <w:t xml:space="preserve"> </w:t>
      </w:r>
      <w:r>
        <w:rPr>
          <w:sz w:val="28"/>
        </w:rPr>
        <w:t>vốn đầu tư,</w:t>
      </w:r>
      <w:r>
        <w:rPr>
          <w:spacing w:val="-11"/>
          <w:sz w:val="28"/>
        </w:rPr>
        <w:t xml:space="preserve"> </w:t>
      </w:r>
      <w:r>
        <w:rPr>
          <w:sz w:val="28"/>
        </w:rPr>
        <w:t>một</w:t>
      </w:r>
      <w:r>
        <w:rPr>
          <w:spacing w:val="-10"/>
          <w:sz w:val="28"/>
        </w:rPr>
        <w:t xml:space="preserve"> </w:t>
      </w:r>
      <w:r>
        <w:rPr>
          <w:sz w:val="28"/>
        </w:rPr>
        <w:t>số</w:t>
      </w:r>
      <w:r>
        <w:rPr>
          <w:spacing w:val="-9"/>
          <w:sz w:val="28"/>
        </w:rPr>
        <w:t xml:space="preserve"> </w:t>
      </w:r>
      <w:r>
        <w:rPr>
          <w:sz w:val="28"/>
        </w:rPr>
        <w:t>chủ</w:t>
      </w:r>
      <w:r>
        <w:rPr>
          <w:spacing w:val="-9"/>
          <w:sz w:val="28"/>
        </w:rPr>
        <w:t xml:space="preserve"> </w:t>
      </w:r>
      <w:r>
        <w:rPr>
          <w:sz w:val="28"/>
        </w:rPr>
        <w:t>đầu</w:t>
      </w:r>
      <w:r>
        <w:rPr>
          <w:spacing w:val="-10"/>
          <w:sz w:val="28"/>
        </w:rPr>
        <w:t xml:space="preserve"> </w:t>
      </w:r>
      <w:r>
        <w:rPr>
          <w:sz w:val="28"/>
        </w:rPr>
        <w:t>tư</w:t>
      </w:r>
      <w:r>
        <w:rPr>
          <w:spacing w:val="-12"/>
          <w:sz w:val="28"/>
        </w:rPr>
        <w:t xml:space="preserve"> </w:t>
      </w:r>
      <w:r>
        <w:rPr>
          <w:sz w:val="28"/>
        </w:rPr>
        <w:t>chưa</w:t>
      </w:r>
      <w:r>
        <w:rPr>
          <w:spacing w:val="-11"/>
          <w:sz w:val="28"/>
        </w:rPr>
        <w:t xml:space="preserve"> </w:t>
      </w:r>
      <w:r>
        <w:rPr>
          <w:sz w:val="28"/>
        </w:rPr>
        <w:t>tích</w:t>
      </w:r>
      <w:r>
        <w:rPr>
          <w:spacing w:val="-10"/>
          <w:sz w:val="28"/>
        </w:rPr>
        <w:t xml:space="preserve"> </w:t>
      </w:r>
      <w:r>
        <w:rPr>
          <w:sz w:val="28"/>
        </w:rPr>
        <w:t>cực</w:t>
      </w:r>
      <w:r>
        <w:rPr>
          <w:spacing w:val="-11"/>
          <w:sz w:val="28"/>
        </w:rPr>
        <w:t xml:space="preserve"> </w:t>
      </w:r>
      <w:r>
        <w:rPr>
          <w:sz w:val="28"/>
        </w:rPr>
        <w:t>thực</w:t>
      </w:r>
      <w:r>
        <w:rPr>
          <w:spacing w:val="-11"/>
          <w:sz w:val="28"/>
        </w:rPr>
        <w:t xml:space="preserve"> </w:t>
      </w:r>
      <w:r>
        <w:rPr>
          <w:sz w:val="28"/>
        </w:rPr>
        <w:t>hiện</w:t>
      </w:r>
      <w:r>
        <w:rPr>
          <w:spacing w:val="-12"/>
          <w:sz w:val="28"/>
        </w:rPr>
        <w:t xml:space="preserve"> </w:t>
      </w:r>
      <w:r>
        <w:rPr>
          <w:sz w:val="28"/>
        </w:rPr>
        <w:t>các</w:t>
      </w:r>
      <w:r>
        <w:rPr>
          <w:spacing w:val="-11"/>
          <w:sz w:val="28"/>
        </w:rPr>
        <w:t xml:space="preserve"> </w:t>
      </w:r>
      <w:r>
        <w:rPr>
          <w:sz w:val="28"/>
        </w:rPr>
        <w:t>thủ</w:t>
      </w:r>
      <w:r>
        <w:rPr>
          <w:spacing w:val="-9"/>
          <w:sz w:val="28"/>
        </w:rPr>
        <w:t xml:space="preserve"> </w:t>
      </w:r>
      <w:r>
        <w:rPr>
          <w:sz w:val="28"/>
        </w:rPr>
        <w:t>tục</w:t>
      </w:r>
      <w:r>
        <w:rPr>
          <w:spacing w:val="-11"/>
          <w:sz w:val="28"/>
        </w:rPr>
        <w:t xml:space="preserve"> </w:t>
      </w:r>
      <w:r>
        <w:rPr>
          <w:sz w:val="28"/>
        </w:rPr>
        <w:t>như:</w:t>
      </w:r>
      <w:r>
        <w:rPr>
          <w:spacing w:val="-9"/>
          <w:sz w:val="28"/>
        </w:rPr>
        <w:t xml:space="preserve"> </w:t>
      </w:r>
      <w:r>
        <w:rPr>
          <w:sz w:val="28"/>
        </w:rPr>
        <w:t>Kiểm tra</w:t>
      </w:r>
      <w:r>
        <w:rPr>
          <w:spacing w:val="-10"/>
          <w:sz w:val="28"/>
        </w:rPr>
        <w:t xml:space="preserve"> </w:t>
      </w:r>
      <w:r>
        <w:rPr>
          <w:sz w:val="28"/>
        </w:rPr>
        <w:t>công</w:t>
      </w:r>
      <w:r>
        <w:rPr>
          <w:spacing w:val="-9"/>
          <w:sz w:val="28"/>
        </w:rPr>
        <w:t xml:space="preserve"> </w:t>
      </w:r>
      <w:r>
        <w:rPr>
          <w:sz w:val="28"/>
        </w:rPr>
        <w:t>tác</w:t>
      </w:r>
      <w:r>
        <w:rPr>
          <w:spacing w:val="-10"/>
          <w:sz w:val="28"/>
        </w:rPr>
        <w:t xml:space="preserve"> </w:t>
      </w:r>
      <w:r>
        <w:rPr>
          <w:sz w:val="28"/>
        </w:rPr>
        <w:t>nghiệm</w:t>
      </w:r>
      <w:r>
        <w:rPr>
          <w:spacing w:val="-15"/>
          <w:sz w:val="28"/>
        </w:rPr>
        <w:t xml:space="preserve"> </w:t>
      </w:r>
      <w:r>
        <w:rPr>
          <w:sz w:val="28"/>
        </w:rPr>
        <w:t>thu,</w:t>
      </w:r>
      <w:r>
        <w:rPr>
          <w:spacing w:val="-10"/>
          <w:sz w:val="28"/>
        </w:rPr>
        <w:t xml:space="preserve"> </w:t>
      </w:r>
      <w:r>
        <w:rPr>
          <w:sz w:val="28"/>
        </w:rPr>
        <w:t>hoàn</w:t>
      </w:r>
      <w:r>
        <w:rPr>
          <w:spacing w:val="-12"/>
          <w:sz w:val="28"/>
        </w:rPr>
        <w:t xml:space="preserve"> </w:t>
      </w:r>
      <w:r>
        <w:rPr>
          <w:sz w:val="28"/>
        </w:rPr>
        <w:t>thiện</w:t>
      </w:r>
      <w:r>
        <w:rPr>
          <w:spacing w:val="-12"/>
          <w:sz w:val="28"/>
        </w:rPr>
        <w:t xml:space="preserve"> </w:t>
      </w:r>
      <w:r>
        <w:rPr>
          <w:sz w:val="28"/>
        </w:rPr>
        <w:t>hồ</w:t>
      </w:r>
      <w:r>
        <w:rPr>
          <w:spacing w:val="-11"/>
          <w:sz w:val="28"/>
        </w:rPr>
        <w:t xml:space="preserve"> </w:t>
      </w:r>
      <w:r>
        <w:rPr>
          <w:sz w:val="28"/>
        </w:rPr>
        <w:t>sơ</w:t>
      </w:r>
      <w:r>
        <w:rPr>
          <w:spacing w:val="-9"/>
          <w:sz w:val="28"/>
        </w:rPr>
        <w:t xml:space="preserve"> </w:t>
      </w:r>
      <w:r>
        <w:rPr>
          <w:sz w:val="28"/>
        </w:rPr>
        <w:t>rút</w:t>
      </w:r>
      <w:r>
        <w:rPr>
          <w:spacing w:val="-9"/>
          <w:sz w:val="28"/>
        </w:rPr>
        <w:t xml:space="preserve"> </w:t>
      </w:r>
      <w:r>
        <w:rPr>
          <w:sz w:val="28"/>
        </w:rPr>
        <w:t>vốn,</w:t>
      </w:r>
      <w:r>
        <w:rPr>
          <w:spacing w:val="-13"/>
          <w:sz w:val="28"/>
        </w:rPr>
        <w:t xml:space="preserve"> </w:t>
      </w:r>
      <w:r>
        <w:rPr>
          <w:sz w:val="28"/>
        </w:rPr>
        <w:t>hồ</w:t>
      </w:r>
      <w:r>
        <w:rPr>
          <w:spacing w:val="-11"/>
          <w:sz w:val="28"/>
        </w:rPr>
        <w:t xml:space="preserve"> </w:t>
      </w:r>
      <w:r>
        <w:rPr>
          <w:sz w:val="28"/>
        </w:rPr>
        <w:t>sơ</w:t>
      </w:r>
      <w:r>
        <w:rPr>
          <w:spacing w:val="-9"/>
          <w:sz w:val="28"/>
        </w:rPr>
        <w:t xml:space="preserve"> </w:t>
      </w:r>
      <w:r>
        <w:rPr>
          <w:sz w:val="28"/>
        </w:rPr>
        <w:t>thanh</w:t>
      </w:r>
      <w:r>
        <w:rPr>
          <w:spacing w:val="-9"/>
          <w:sz w:val="28"/>
        </w:rPr>
        <w:t xml:space="preserve"> </w:t>
      </w:r>
      <w:r>
        <w:rPr>
          <w:sz w:val="28"/>
        </w:rPr>
        <w:t>toán,</w:t>
      </w:r>
      <w:r>
        <w:rPr>
          <w:spacing w:val="-10"/>
          <w:sz w:val="28"/>
        </w:rPr>
        <w:t xml:space="preserve"> </w:t>
      </w:r>
      <w:r>
        <w:rPr>
          <w:sz w:val="28"/>
        </w:rPr>
        <w:t>quyết</w:t>
      </w:r>
      <w:r>
        <w:rPr>
          <w:spacing w:val="-9"/>
          <w:sz w:val="28"/>
        </w:rPr>
        <w:t xml:space="preserve"> </w:t>
      </w:r>
      <w:r>
        <w:rPr>
          <w:sz w:val="28"/>
        </w:rPr>
        <w:t>toán…; năng lực chuyên môn của một số đơn vị quản lý dự án, đơn vị tư vấn thiết kế, tư vấn thẩm tra, thẩm</w:t>
      </w:r>
      <w:r>
        <w:rPr>
          <w:spacing w:val="-1"/>
          <w:sz w:val="28"/>
        </w:rPr>
        <w:t xml:space="preserve"> </w:t>
      </w:r>
      <w:r>
        <w:rPr>
          <w:sz w:val="28"/>
        </w:rPr>
        <w:t>định dự án... chưa làm</w:t>
      </w:r>
      <w:r>
        <w:rPr>
          <w:spacing w:val="-1"/>
          <w:sz w:val="28"/>
        </w:rPr>
        <w:t xml:space="preserve"> </w:t>
      </w:r>
      <w:r>
        <w:rPr>
          <w:sz w:val="28"/>
        </w:rPr>
        <w:t>hết trách nhiệm, thiếu kiểm</w:t>
      </w:r>
      <w:r>
        <w:rPr>
          <w:spacing w:val="-4"/>
          <w:sz w:val="28"/>
        </w:rPr>
        <w:t xml:space="preserve"> </w:t>
      </w:r>
      <w:r>
        <w:rPr>
          <w:sz w:val="28"/>
        </w:rPr>
        <w:t>tra, kiểm</w:t>
      </w:r>
      <w:r>
        <w:rPr>
          <w:spacing w:val="-1"/>
          <w:sz w:val="28"/>
        </w:rPr>
        <w:t xml:space="preserve"> </w:t>
      </w:r>
      <w:r>
        <w:rPr>
          <w:sz w:val="28"/>
        </w:rPr>
        <w:t>soát dẫn đến hồ sơ dự án không đáp ứng được yêu cầu.</w:t>
      </w:r>
    </w:p>
    <w:p>
      <w:pPr>
        <w:pStyle w:val="ListParagraph"/>
        <w:numPr>
          <w:ilvl w:val="0"/>
          <w:numId w:val="3"/>
        </w:numPr>
        <w:tabs>
          <w:tab w:val="left" w:pos="1168"/>
        </w:tabs>
        <w:ind w:firstLine="720"/>
        <w:rPr>
          <w:sz w:val="28"/>
        </w:rPr>
      </w:pPr>
      <w:r>
        <w:rPr>
          <w:sz w:val="28"/>
        </w:rPr>
        <w:t>Công tác đôn đốc nhà thầu triển khai thi công chưa quyết liệt và hiệu quả; Công tác lựa chọn nhà thầu triển khai còn chậm.</w:t>
      </w:r>
    </w:p>
    <w:p>
      <w:pPr>
        <w:pStyle w:val="ListParagraph"/>
        <w:tabs>
          <w:tab w:val="left" w:pos="1168"/>
        </w:tabs>
        <w:ind w:left="720" w:firstLine="0"/>
        <w:rPr>
          <w:b/>
          <w:bCs/>
          <w:sz w:val="28"/>
        </w:rPr>
      </w:pPr>
      <w:r>
        <w:rPr>
          <w:b/>
          <w:bCs/>
          <w:sz w:val="28"/>
          <w:lang w:val="en-US"/>
        </w:rPr>
        <w:t>6</w:t>
      </w:r>
      <w:r>
        <w:rPr>
          <w:b/>
          <w:bCs/>
          <w:sz w:val="28"/>
        </w:rPr>
        <w:t>. Nhiệm vụ giải pháp những tháng cuối năm</w:t>
      </w:r>
    </w:p>
    <w:p>
      <w:pPr>
        <w:spacing w:before="120"/>
        <w:ind w:firstLine="720"/>
        <w:jc w:val="both"/>
        <w:rPr>
          <w:sz w:val="28"/>
          <w:szCs w:val="28"/>
        </w:rPr>
      </w:pPr>
      <w:r>
        <w:rPr>
          <w:sz w:val="28"/>
          <w:szCs w:val="28"/>
        </w:rPr>
        <w:t>Để phấn đấu đẩy nhanh tiến độ thực hiện, phấn đấu giải ngân vốn năm 2024 đạt 100% kế hoạch giao là một nhiệm vụ rất lớn, cần tập trung, sâu sát, quyết tâm, quyết liệt hơn nữa. Trong những tháng còn lại các cấp, ngành, cơ quan, đơn vị chủ đầu tư cần tập trung thực hiện quyết liệt, đồng bộ một số nhiệm vụ, giải pháp chủ yếu sau:</w:t>
      </w:r>
    </w:p>
    <w:p>
      <w:pPr>
        <w:spacing w:before="120"/>
        <w:ind w:firstLine="720"/>
        <w:jc w:val="both"/>
        <w:rPr>
          <w:sz w:val="28"/>
          <w:szCs w:val="20"/>
        </w:rPr>
      </w:pPr>
      <w:r>
        <w:rPr>
          <w:sz w:val="28"/>
          <w:szCs w:val="28"/>
        </w:rPr>
        <w:t xml:space="preserve">(1) </w:t>
      </w:r>
      <w:r>
        <w:rPr>
          <w:sz w:val="28"/>
          <w:szCs w:val="20"/>
        </w:rPr>
        <w:t xml:space="preserve">Khởi công các dự án đã lựa chọn xong nhà thầu thi công; tiếp tục đôn đốc nhà thầu thi công đảm bảo đúng tiến độ, đẩy mạnh giải ngân kế hoạch vốn được giao đảm bảo theo đúng tiến độ giải ngân đã cam kết với tỉnh; chỉ đạo chủ đầu tư hoàn thành việc thu hồi vốn ứng trước, thanh toán nợ đọng xây dựng cơ bản của các dự án được giao kế hoạch trong năm 2024. </w:t>
      </w:r>
    </w:p>
    <w:p>
      <w:pPr>
        <w:tabs>
          <w:tab w:val="left" w:pos="709"/>
        </w:tabs>
        <w:spacing w:before="120" w:after="120"/>
        <w:ind w:firstLine="720"/>
        <w:jc w:val="both"/>
        <w:rPr>
          <w:sz w:val="28"/>
          <w:szCs w:val="28"/>
        </w:rPr>
      </w:pPr>
      <w:r>
        <w:rPr>
          <w:sz w:val="28"/>
          <w:szCs w:val="28"/>
        </w:rPr>
        <w:t xml:space="preserve">(2) Tập trung giải quyết xử lý dứt điểm các khó khăn vướng mắc, đẩy nhanh tiến độ thực hiện công tác giải phóng mắt bằng các dự án thuộc trách nhiệm của thành phố để bàn giao mặt bằng sạch cho chủ đầu tư theo tiến độ yêu cầu; kịp thời báo cáo, đề xuất với UBND tỉnh đối với các nội dung vượt thẩm quyền.  </w:t>
      </w:r>
    </w:p>
    <w:p>
      <w:pPr>
        <w:pStyle w:val="BodyText"/>
        <w:spacing w:after="120"/>
        <w:ind w:left="0" w:firstLine="720"/>
      </w:pPr>
      <w:r>
        <w:t xml:space="preserve">(3) Tăng cường giám sát các nhà thầu thi công, kiên quyết xử lý nghiêm theo quy định của pháp luật các trường hợp vi phạm, làm ảnh hưởng đến chất lượng, tiến độ dự án; đặc biệt quan tâm đến chất lượng các dự án giao cho cấp xã, phường thực hiện. Kiên quyết xử lý theo quy định của pháp luật đối với các nhà thầu không đáp ứng yêu cầu, vi phạm các điều khoản hợp đồng đã ký kết, kiên quyết loại ra các nhà thầu không có năng lực. </w:t>
      </w:r>
    </w:p>
    <w:p>
      <w:pPr>
        <w:tabs>
          <w:tab w:val="left" w:pos="1178"/>
        </w:tabs>
        <w:spacing w:before="120" w:after="120"/>
        <w:ind w:firstLine="720"/>
        <w:jc w:val="both"/>
        <w:rPr>
          <w:sz w:val="28"/>
          <w:szCs w:val="28"/>
        </w:rPr>
      </w:pPr>
      <w:r>
        <w:rPr>
          <w:sz w:val="28"/>
          <w:szCs w:val="28"/>
        </w:rPr>
        <w:t>(4) Tăng cường tuyên truyền về cơ chế chính sách trong công tác GPMB cho nhân dân, vận động nhân dân ủng hộ nhận tiền bồi thường giải phóng mặt bằng, giao đất cho dự án, kịp thời những khó khăn, vướng mắc trong giải phóng mặt bằng, đáp ứng yêu cầu về tiến độ giao đất cho dự án đặc biệt dự án xây dựng cơ sở hạ tầng để đấu giá quyền sử dụng đất.</w:t>
      </w:r>
    </w:p>
    <w:p>
      <w:pPr>
        <w:tabs>
          <w:tab w:val="left" w:pos="1228"/>
        </w:tabs>
        <w:spacing w:before="120" w:after="120"/>
        <w:ind w:firstLine="720"/>
        <w:jc w:val="both"/>
        <w:rPr>
          <w:sz w:val="28"/>
          <w:szCs w:val="28"/>
        </w:rPr>
      </w:pPr>
      <w:r>
        <w:rPr>
          <w:sz w:val="28"/>
          <w:szCs w:val="28"/>
        </w:rPr>
        <w:t xml:space="preserve">(5) Đẩy nhanh tiến độ tổ chức đấu giá đất </w:t>
      </w:r>
      <w:r>
        <w:rPr>
          <w:sz w:val="28"/>
          <w:szCs w:val="28"/>
          <w:lang w:val="en-US"/>
        </w:rPr>
        <w:t>15 lô khu 3,2ha</w:t>
      </w:r>
      <w:r>
        <w:rPr>
          <w:sz w:val="28"/>
          <w:szCs w:val="28"/>
        </w:rPr>
        <w:t xml:space="preserve"> đảm bảo nguồn thu thực hiện dự án theo kế hoạch giao năm 2024.</w:t>
      </w:r>
    </w:p>
    <w:p>
      <w:pPr>
        <w:tabs>
          <w:tab w:val="left" w:pos="1146"/>
        </w:tabs>
        <w:spacing w:before="120" w:after="120"/>
        <w:ind w:firstLine="720"/>
        <w:jc w:val="both"/>
        <w:rPr>
          <w:spacing w:val="-2"/>
          <w:sz w:val="28"/>
          <w:szCs w:val="28"/>
        </w:rPr>
      </w:pPr>
      <w:r>
        <w:rPr>
          <w:sz w:val="28"/>
          <w:szCs w:val="28"/>
        </w:rPr>
        <w:t xml:space="preserve">(6) Kiểm soát chặt chẽ, nâng cao chất lượng trong việc lập, thẩm định, phê </w:t>
      </w:r>
      <w:r>
        <w:rPr>
          <w:sz w:val="28"/>
          <w:szCs w:val="28"/>
        </w:rPr>
        <w:lastRenderedPageBreak/>
        <w:t xml:space="preserve">duyệt chủ trương đầu tư và quyết định đầu tư các dự án vốn đầu tư. Chấn trỉnh và tăng cường vai trò trách nhiệm quản lý của các Chủ đầu tư trong việc lập, thẩm định, phê duyệt đầu tư và quyết định chủ trương đầu tư các dự án vốn đầu tư thuộc thẩm </w:t>
      </w:r>
      <w:r>
        <w:rPr>
          <w:spacing w:val="-2"/>
          <w:sz w:val="28"/>
          <w:szCs w:val="28"/>
        </w:rPr>
        <w:t>quyền.</w:t>
      </w:r>
    </w:p>
    <w:p>
      <w:pPr>
        <w:widowControl/>
        <w:tabs>
          <w:tab w:val="left" w:pos="0"/>
        </w:tabs>
        <w:autoSpaceDE/>
        <w:autoSpaceDN/>
        <w:spacing w:before="120" w:after="120" w:line="252" w:lineRule="auto"/>
        <w:ind w:firstLine="720"/>
        <w:jc w:val="both"/>
        <w:rPr>
          <w:sz w:val="28"/>
          <w:szCs w:val="28"/>
        </w:rPr>
      </w:pPr>
      <w:r>
        <w:rPr>
          <w:sz w:val="28"/>
          <w:szCs w:val="28"/>
        </w:rPr>
        <w:t>(7) Thường xuyên tổ chức đối thoại với doanh nghiệp để tháo gỡ khó khăn, vướng mắc cho doanh nghiệp trong quá trình tổ chức triển khai thực hiện dự án.</w:t>
      </w:r>
    </w:p>
    <w:p>
      <w:pPr>
        <w:tabs>
          <w:tab w:val="left" w:pos="0"/>
          <w:tab w:val="left" w:pos="709"/>
          <w:tab w:val="left" w:pos="851"/>
        </w:tabs>
        <w:autoSpaceDE/>
        <w:autoSpaceDN/>
        <w:spacing w:before="120" w:after="120" w:line="252" w:lineRule="auto"/>
        <w:ind w:firstLine="720"/>
        <w:jc w:val="both"/>
        <w:rPr>
          <w:sz w:val="28"/>
          <w:szCs w:val="28"/>
        </w:rPr>
      </w:pPr>
      <w:r>
        <w:rPr>
          <w:spacing w:val="-2"/>
          <w:sz w:val="28"/>
          <w:szCs w:val="28"/>
        </w:rPr>
        <w:t>(8) Tăng cường công tác kiểm tra, giám sát chặt chẽ, hiệu quả</w:t>
      </w:r>
      <w:r>
        <w:rPr>
          <w:spacing w:val="-2"/>
          <w:sz w:val="28"/>
          <w:szCs w:val="28"/>
          <w:lang w:val="en-US"/>
        </w:rPr>
        <w:t xml:space="preserve">, </w:t>
      </w:r>
      <w:r>
        <w:rPr>
          <w:sz w:val="28"/>
          <w:szCs w:val="28"/>
          <w:lang w:val="vi-VN"/>
        </w:rPr>
        <w:t>khẩn trương thực hiện công tác nghiệm thu, thanh toán khi đã có khối lượng hoàn thành, đảm bảo đúng khối lượng, chất lượng, hồ sơ</w:t>
      </w:r>
      <w:r>
        <w:rPr>
          <w:sz w:val="28"/>
          <w:szCs w:val="28"/>
        </w:rPr>
        <w:t>. Kiên quyết, không để xảy ra trường hợp bị thu hồi vốn do hết thời hạn giải ngân.</w:t>
      </w:r>
    </w:p>
    <w:p>
      <w:pPr>
        <w:tabs>
          <w:tab w:val="left" w:pos="1168"/>
        </w:tabs>
        <w:spacing w:before="120"/>
        <w:jc w:val="both"/>
        <w:rPr>
          <w:b/>
          <w:bCs/>
          <w:sz w:val="28"/>
          <w:szCs w:val="28"/>
        </w:rPr>
      </w:pPr>
      <w:r>
        <w:rPr>
          <w:b/>
          <w:bCs/>
          <w:sz w:val="28"/>
          <w:szCs w:val="28"/>
        </w:rPr>
        <w:t xml:space="preserve">          II. </w:t>
      </w:r>
      <w:r>
        <w:rPr>
          <w:b/>
          <w:bCs/>
          <w:sz w:val="28"/>
          <w:szCs w:val="28"/>
          <w:lang w:val="en-US"/>
        </w:rPr>
        <w:t xml:space="preserve">DỰ KIẾN </w:t>
      </w:r>
      <w:r>
        <w:rPr>
          <w:b/>
          <w:bCs/>
          <w:sz w:val="28"/>
          <w:szCs w:val="28"/>
          <w:lang w:val="es-CO"/>
        </w:rPr>
        <w:t>KẾ HOẠCH ĐẦU TƯ CÔNG NĂM 2025</w:t>
      </w:r>
    </w:p>
    <w:p>
      <w:pPr>
        <w:widowControl/>
        <w:autoSpaceDE/>
        <w:autoSpaceDN/>
        <w:spacing w:before="120"/>
        <w:ind w:firstLine="720"/>
        <w:jc w:val="both"/>
        <w:rPr>
          <w:rFonts w:eastAsia="Calibri"/>
          <w:b/>
          <w:sz w:val="28"/>
          <w:szCs w:val="28"/>
        </w:rPr>
      </w:pPr>
      <w:bookmarkStart w:id="4" w:name="_Hlk183437716"/>
      <w:r>
        <w:rPr>
          <w:rFonts w:eastAsia="Calibri"/>
          <w:b/>
          <w:noProof/>
          <w:sz w:val="28"/>
          <w:szCs w:val="28"/>
        </w:rPr>
        <w:t>1. Định hướng đầu tư công trong năm 2025</w:t>
      </w:r>
    </w:p>
    <w:p>
      <w:pPr>
        <w:widowControl/>
        <w:autoSpaceDE/>
        <w:autoSpaceDN/>
        <w:spacing w:before="120"/>
        <w:ind w:firstLine="720"/>
        <w:jc w:val="both"/>
        <w:rPr>
          <w:rFonts w:eastAsia="Calibri"/>
          <w:sz w:val="28"/>
          <w:szCs w:val="28"/>
        </w:rPr>
      </w:pPr>
      <w:r>
        <w:rPr>
          <w:rFonts w:eastAsia="Calibri"/>
          <w:sz w:val="28"/>
          <w:szCs w:val="28"/>
        </w:rPr>
        <w:t>Tiếp tục sử dụng có hiệu quả các nguồn vốn đầu tư phát triển nền kinh tế, đầu tư hệ thống kết cấu hạ tầng kinh tế, xã hội thiết yếu, phục vụ cho việc thực hiện các mục tiêu, chỉ tiêu định hướng của kế hoạch phát triển kinh tế - xã hội. Trong đó vốn đầu tư năm 2025 tập trung bố trí cho các dự án đã được phê duyệt quyết toán dự án hoàn thành nhưng còn thiếu vốn, các dự án đã hoàn thành bàn giao đưa vào sử dụng, các chuyển tiếp để sớm hoàn thành; đẩy nhanh tiến độ thực hiện các chương trình, dự án quan trọng, chỉnh trang đô thị, phối hợp với các Sở, ban, ngành triển khai các dự án trọng điểm có ý nghĩa lớn đối với phát triển kinh tế - xã hội. Tiếp tục quán triệt tuân thủ các nguyên tắc ưu tiên bố trí, tiêu chí phân bổ vốn đầu tư công.</w:t>
      </w:r>
    </w:p>
    <w:p>
      <w:pPr>
        <w:spacing w:before="120"/>
        <w:ind w:firstLine="720"/>
        <w:jc w:val="both"/>
        <w:rPr>
          <w:b/>
          <w:bCs/>
          <w:sz w:val="28"/>
          <w:szCs w:val="28"/>
          <w:lang w:val="da-DK"/>
        </w:rPr>
      </w:pPr>
      <w:r>
        <w:rPr>
          <w:b/>
          <w:bCs/>
          <w:sz w:val="28"/>
          <w:szCs w:val="28"/>
          <w:lang w:val="da-DK"/>
        </w:rPr>
        <w:t>2. Nguyên tắc, tiêu chí phân bổ vốn đầu tư nguồn NSNN</w:t>
      </w:r>
    </w:p>
    <w:p>
      <w:pPr>
        <w:spacing w:before="120"/>
        <w:ind w:firstLine="720"/>
        <w:jc w:val="both"/>
        <w:rPr>
          <w:sz w:val="28"/>
          <w:szCs w:val="28"/>
          <w:lang w:val="da-DK"/>
        </w:rPr>
      </w:pPr>
      <w:r>
        <w:rPr>
          <w:sz w:val="28"/>
          <w:szCs w:val="28"/>
          <w:lang w:val="da-DK"/>
        </w:rPr>
        <w:t xml:space="preserve">Việc phân bổ vốn đầu tư nguồn NSNN năm 2025 phải bảo đảm thực hiện theo các nguyên tắc, tiêu chí sau: </w:t>
      </w:r>
    </w:p>
    <w:p>
      <w:pPr>
        <w:spacing w:before="120"/>
        <w:ind w:firstLine="720"/>
        <w:jc w:val="both"/>
        <w:rPr>
          <w:sz w:val="28"/>
          <w:szCs w:val="28"/>
          <w:lang w:val="da-DK"/>
        </w:rPr>
      </w:pPr>
      <w:r>
        <w:rPr>
          <w:sz w:val="28"/>
          <w:szCs w:val="28"/>
          <w:lang w:val="da-DK"/>
        </w:rPr>
        <w:t xml:space="preserve">a) Thực hiện các mục tiêu và các định hướng phát triển kinh tế - xã hội năm 2025; phù hợp với kế hoạch đầu tư công trung hạn giai đoạn 2021-2025.  </w:t>
      </w:r>
    </w:p>
    <w:p>
      <w:pPr>
        <w:spacing w:before="120"/>
        <w:ind w:firstLine="720"/>
        <w:jc w:val="both"/>
        <w:rPr>
          <w:sz w:val="28"/>
          <w:szCs w:val="28"/>
          <w:lang w:val="da-DK"/>
        </w:rPr>
      </w:pPr>
      <w:r>
        <w:rPr>
          <w:sz w:val="28"/>
          <w:szCs w:val="28"/>
          <w:lang w:val="da-DK"/>
        </w:rPr>
        <w:t xml:space="preserve">b) Thực hiện các quy định của Luật Đầu tư công, Luật NSNN, các Nghị định hướng dẫn thi hành Luật Đầu tư công. Việc phân bổ vốn bảo đảm nguyên tắc, tiêu chí theo quy định tại Nghị quyết số 973/2020/UBTVQH14 ngày 8/7/2020 của Ủy ban Thường vụ Quốc hội và Quyết định số 26/2020/QĐ-TTg ngày 14/9/2020 của Thủ tướng Chính phủ; Nghị quyết số 26/2020/NQ-HĐND ngày 10/11/2020 của HĐND tỉnh. </w:t>
      </w:r>
    </w:p>
    <w:p>
      <w:pPr>
        <w:spacing w:before="120" w:after="120"/>
        <w:ind w:firstLine="567"/>
        <w:jc w:val="both"/>
        <w:rPr>
          <w:sz w:val="28"/>
          <w:szCs w:val="28"/>
          <w:lang w:val="da-DK"/>
        </w:rPr>
      </w:pPr>
      <w:r>
        <w:rPr>
          <w:sz w:val="28"/>
          <w:szCs w:val="28"/>
          <w:lang w:val="da-DK"/>
        </w:rPr>
        <w:t>c) Danh mục dự án bố trí vốn NSNN năm 2025 phải thuộc danh mục kế hoạch đầu tư công trung hạn giai đoạn 2021-2025 đã được UBND tỉnh và Hội đồng nhân dân thành phố; đáp ứng điều kiện bố trí kế hoạch theo quy định tại Điều 53 Luật Đầu tư công.</w:t>
      </w:r>
    </w:p>
    <w:p>
      <w:pPr>
        <w:spacing w:before="120"/>
        <w:ind w:firstLine="567"/>
        <w:jc w:val="both"/>
        <w:rPr>
          <w:spacing w:val="-4"/>
          <w:sz w:val="28"/>
          <w:szCs w:val="28"/>
          <w:lang w:val="da-DK"/>
        </w:rPr>
      </w:pPr>
      <w:r>
        <w:rPr>
          <w:spacing w:val="-4"/>
          <w:sz w:val="28"/>
          <w:szCs w:val="28"/>
          <w:lang w:val="da-DK"/>
        </w:rPr>
        <w:t xml:space="preserve">d) Phù hợp với khả năng bố trí nguồn lực đầu tư công và khả năng giải ngân thực tế; bố trí vốn tập trung, tránh dàn trải, lãng phí, nâng cao hiệu quả đầu tư trong đó tập trung đầu tư cho các dự án trọng điểm, ưu tiên cho các dự án chuyển tiếp có </w:t>
      </w:r>
      <w:r>
        <w:rPr>
          <w:spacing w:val="-4"/>
          <w:sz w:val="28"/>
          <w:szCs w:val="28"/>
          <w:lang w:val="da-DK"/>
        </w:rPr>
        <w:lastRenderedPageBreak/>
        <w:t xml:space="preserve">khả năng giải ngân để đẩy nhanh tiến độ hoàn thành, đưa vào sử dụng. </w:t>
      </w:r>
    </w:p>
    <w:p>
      <w:pPr>
        <w:spacing w:before="120"/>
        <w:ind w:firstLine="567"/>
        <w:jc w:val="both"/>
        <w:rPr>
          <w:b/>
          <w:bCs/>
          <w:sz w:val="28"/>
          <w:szCs w:val="28"/>
          <w:lang w:val="da-DK"/>
        </w:rPr>
      </w:pPr>
      <w:r>
        <w:rPr>
          <w:b/>
          <w:bCs/>
          <w:sz w:val="28"/>
          <w:szCs w:val="28"/>
          <w:lang w:val="da-DK"/>
        </w:rPr>
        <w:t>3. Thứ tự ưu tiên các dự án bố trí vốn đầu tư nguồn NSNN</w:t>
      </w:r>
    </w:p>
    <w:p>
      <w:pPr>
        <w:spacing w:before="120" w:after="120"/>
        <w:ind w:left="262" w:right="308" w:firstLine="305"/>
        <w:jc w:val="both"/>
        <w:rPr>
          <w:bCs/>
          <w:sz w:val="28"/>
          <w:szCs w:val="28"/>
        </w:rPr>
      </w:pPr>
      <w:r>
        <w:rPr>
          <w:bCs/>
          <w:sz w:val="28"/>
          <w:szCs w:val="28"/>
        </w:rPr>
        <w:t>- Bố trí đủ vốn cho các dự án đã được phê duyệt quyết toán dự án hoàn thành, nhưng còn thiếu vốn.</w:t>
      </w:r>
    </w:p>
    <w:p>
      <w:pPr>
        <w:spacing w:before="120" w:after="120"/>
        <w:ind w:left="262" w:right="308" w:firstLine="305"/>
        <w:jc w:val="both"/>
        <w:rPr>
          <w:bCs/>
          <w:sz w:val="28"/>
          <w:szCs w:val="28"/>
        </w:rPr>
      </w:pPr>
      <w:r>
        <w:rPr>
          <w:bCs/>
          <w:sz w:val="28"/>
          <w:szCs w:val="28"/>
        </w:rPr>
        <w:t>- Bố trí đủ vốn cho các dự án chuyển tiếp đã hoàn thành bàn giao đưa vào sử dụng, nhưng còn thiếu vốn.</w:t>
      </w:r>
    </w:p>
    <w:p>
      <w:pPr>
        <w:spacing w:before="120" w:after="120"/>
        <w:ind w:right="308" w:firstLine="567"/>
        <w:jc w:val="both"/>
        <w:rPr>
          <w:bCs/>
          <w:spacing w:val="-10"/>
          <w:sz w:val="28"/>
          <w:szCs w:val="28"/>
        </w:rPr>
      </w:pPr>
      <w:r>
        <w:rPr>
          <w:bCs/>
          <w:spacing w:val="-10"/>
          <w:sz w:val="28"/>
          <w:szCs w:val="28"/>
        </w:rPr>
        <w:t>- Bố trí vốn cho các dự án chuyển tiếp dự kiến hoàn thành trong năm 2025.</w:t>
      </w:r>
    </w:p>
    <w:p>
      <w:pPr>
        <w:spacing w:before="120" w:after="120"/>
        <w:ind w:left="262" w:right="308" w:firstLine="305"/>
        <w:jc w:val="both"/>
        <w:rPr>
          <w:bCs/>
          <w:sz w:val="28"/>
          <w:szCs w:val="28"/>
        </w:rPr>
      </w:pPr>
      <w:r>
        <w:rPr>
          <w:bCs/>
          <w:sz w:val="28"/>
          <w:szCs w:val="28"/>
        </w:rPr>
        <w:t>- Mức vốn bố trí cho từng dự án không vượt quá tổng mức đầu tư dự án trừ đi luỹ kế bố trí vốn đến hết năm 2024 và không vượt quá kế hoạch đầu tư công trung hạn giai đoạn 2021-2025 trừ đi số vốn đã bố trí trong kế hoạch năm 2024 của dự án; phù hợp với khả năng thực hiện và giải ngân trong năm 2025.</w:t>
      </w:r>
    </w:p>
    <w:p>
      <w:pPr>
        <w:tabs>
          <w:tab w:val="left" w:pos="567"/>
        </w:tabs>
        <w:spacing w:before="120"/>
        <w:jc w:val="both"/>
        <w:rPr>
          <w:b/>
          <w:bCs/>
          <w:sz w:val="28"/>
          <w:lang w:val="da-DK"/>
        </w:rPr>
      </w:pPr>
      <w:r>
        <w:rPr>
          <w:b/>
          <w:bCs/>
          <w:sz w:val="28"/>
          <w:lang w:val="da-DK"/>
        </w:rPr>
        <w:tab/>
        <w:t>4. Khả năng huy động và cân đối các nguồn vốn thực hiện trong năm kế hoạch vốn NSTP</w:t>
      </w:r>
    </w:p>
    <w:p>
      <w:pPr>
        <w:spacing w:after="120"/>
        <w:ind w:firstLine="720"/>
        <w:jc w:val="both"/>
        <w:rPr>
          <w:sz w:val="28"/>
          <w:lang w:val="da-DK"/>
        </w:rPr>
      </w:pPr>
      <w:r>
        <w:rPr>
          <w:sz w:val="28"/>
          <w:lang w:val="da-DK"/>
        </w:rPr>
        <w:t xml:space="preserve">- </w:t>
      </w:r>
      <w:r>
        <w:rPr>
          <w:sz w:val="28"/>
        </w:rPr>
        <w:t xml:space="preserve">Về nguồn vốn XDCBTT (30%) năm 2025, UBND thành phố dự kiến đề xuất nhu cầu vốn: </w:t>
      </w:r>
      <w:r>
        <w:rPr>
          <w:b/>
          <w:bCs/>
          <w:sz w:val="28"/>
          <w:lang w:val="da-DK"/>
        </w:rPr>
        <w:t xml:space="preserve">20.922 </w:t>
      </w:r>
      <w:r>
        <w:rPr>
          <w:sz w:val="28"/>
        </w:rPr>
        <w:t>triệu đồng</w:t>
      </w:r>
      <w:r>
        <w:rPr>
          <w:sz w:val="28"/>
          <w:lang w:val="da-DK"/>
        </w:rPr>
        <w:t>.</w:t>
      </w:r>
    </w:p>
    <w:p>
      <w:pPr>
        <w:tabs>
          <w:tab w:val="left" w:pos="709"/>
        </w:tabs>
        <w:spacing w:after="120"/>
        <w:ind w:firstLine="720"/>
        <w:jc w:val="both"/>
        <w:rPr>
          <w:sz w:val="28"/>
          <w:lang w:val="da-DK"/>
        </w:rPr>
      </w:pPr>
      <w:r>
        <w:rPr>
          <w:sz w:val="28"/>
          <w:lang w:val="da-DK"/>
        </w:rPr>
        <w:t xml:space="preserve">- </w:t>
      </w:r>
      <w:r>
        <w:rPr>
          <w:sz w:val="28"/>
        </w:rPr>
        <w:t>Về nguồn vốn thu sử dụng đất, đấu giá đất</w:t>
      </w:r>
      <w:r>
        <w:rPr>
          <w:sz w:val="28"/>
          <w:lang w:val="en-US"/>
        </w:rPr>
        <w:t xml:space="preserve"> </w:t>
      </w:r>
      <w:r>
        <w:rPr>
          <w:sz w:val="28"/>
        </w:rPr>
        <w:t>(bao gồm cả nguồn đấu giá đất do tỉnh thực hiện phân cấp thành phố hưởng)</w:t>
      </w:r>
      <w:r>
        <w:rPr>
          <w:sz w:val="28"/>
          <w:lang w:val="en-US"/>
        </w:rPr>
        <w:t xml:space="preserve"> dự kiến kế hoạch vốn năm 2025</w:t>
      </w:r>
      <w:r>
        <w:rPr>
          <w:sz w:val="28"/>
        </w:rPr>
        <w:t xml:space="preserve">: </w:t>
      </w:r>
      <w:r>
        <w:rPr>
          <w:b/>
          <w:sz w:val="28"/>
          <w:szCs w:val="28"/>
          <w:lang w:val="es-CO"/>
        </w:rPr>
        <w:t>171.000</w:t>
      </w:r>
      <w:r>
        <w:rPr>
          <w:bCs/>
          <w:sz w:val="28"/>
          <w:szCs w:val="28"/>
          <w:lang w:val="es-CO"/>
        </w:rPr>
        <w:t xml:space="preserve"> </w:t>
      </w:r>
      <w:r>
        <w:rPr>
          <w:sz w:val="28"/>
        </w:rPr>
        <w:t>triệu đồng</w:t>
      </w:r>
      <w:r>
        <w:rPr>
          <w:sz w:val="28"/>
          <w:lang w:val="da-DK"/>
        </w:rPr>
        <w:t>.</w:t>
      </w:r>
    </w:p>
    <w:p>
      <w:pPr>
        <w:tabs>
          <w:tab w:val="left" w:pos="567"/>
        </w:tabs>
        <w:spacing w:after="120"/>
        <w:rPr>
          <w:b/>
          <w:bCs/>
          <w:sz w:val="28"/>
          <w:lang w:val="da-DK"/>
        </w:rPr>
      </w:pPr>
      <w:r>
        <w:rPr>
          <w:b/>
          <w:bCs/>
          <w:sz w:val="28"/>
          <w:lang w:val="da-DK"/>
        </w:rPr>
        <w:tab/>
        <w:t>5. Dự kiến danh mục dự án và kế hoạch vốn đầu tư năm 2025</w:t>
      </w:r>
    </w:p>
    <w:p>
      <w:pPr>
        <w:tabs>
          <w:tab w:val="left" w:pos="567"/>
        </w:tabs>
        <w:spacing w:after="120"/>
        <w:jc w:val="both"/>
        <w:rPr>
          <w:sz w:val="28"/>
          <w:szCs w:val="28"/>
          <w:lang w:val="da-DK"/>
        </w:rPr>
      </w:pPr>
      <w:r>
        <w:rPr>
          <w:b/>
          <w:bCs/>
          <w:i/>
          <w:iCs/>
          <w:sz w:val="28"/>
          <w:lang w:val="da-DK"/>
        </w:rPr>
        <w:tab/>
      </w:r>
      <w:r>
        <w:rPr>
          <w:sz w:val="28"/>
          <w:lang w:val="da-DK"/>
        </w:rPr>
        <w:t xml:space="preserve">Vốn ngân sách thành phố quản lý dự kiến 2025 nhu cầu vốn: </w:t>
      </w:r>
      <w:bookmarkStart w:id="5" w:name="_Hlk168815730"/>
      <w:r>
        <w:rPr>
          <w:b/>
          <w:bCs/>
          <w:color w:val="FF0000"/>
          <w:sz w:val="28"/>
          <w:lang w:val="da-DK"/>
        </w:rPr>
        <w:t>191.922</w:t>
      </w:r>
      <w:r>
        <w:rPr>
          <w:color w:val="FF0000"/>
          <w:sz w:val="28"/>
          <w:lang w:val="da-DK"/>
        </w:rPr>
        <w:t xml:space="preserve"> </w:t>
      </w:r>
      <w:bookmarkEnd w:id="5"/>
      <w:r>
        <w:rPr>
          <w:sz w:val="28"/>
          <w:lang w:val="da-DK"/>
        </w:rPr>
        <w:t xml:space="preserve">triệu đồng, </w:t>
      </w:r>
      <w:r>
        <w:rPr>
          <w:bCs/>
          <w:sz w:val="28"/>
          <w:szCs w:val="28"/>
          <w:lang w:val="es-CO"/>
        </w:rPr>
        <w:t>trong đó: vốn cân đối ngân sách địa phương (XDCBTT): 20.922 triệu đồng; vốn thu tiền từ sử dụng đất: 171.000 triệu đồng, chi tiết:</w:t>
      </w:r>
    </w:p>
    <w:p>
      <w:pPr>
        <w:tabs>
          <w:tab w:val="left" w:pos="709"/>
        </w:tabs>
        <w:spacing w:after="120"/>
        <w:jc w:val="both"/>
        <w:rPr>
          <w:spacing w:val="4"/>
          <w:sz w:val="28"/>
          <w:szCs w:val="28"/>
        </w:rPr>
      </w:pPr>
      <w:r>
        <w:rPr>
          <w:sz w:val="28"/>
          <w:szCs w:val="28"/>
          <w:lang w:val="da-DK"/>
        </w:rPr>
        <w:t xml:space="preserve">         (1) </w:t>
      </w:r>
      <w:r>
        <w:rPr>
          <w:spacing w:val="4"/>
          <w:sz w:val="28"/>
          <w:szCs w:val="28"/>
        </w:rPr>
        <w:t xml:space="preserve">Phân bổ 20.922 triệu đồng vốn XDCBTT cho 11 dự án, </w:t>
      </w:r>
      <w:r>
        <w:rPr>
          <w:spacing w:val="4"/>
          <w:sz w:val="28"/>
          <w:szCs w:val="28"/>
          <w:lang w:val="en-US"/>
        </w:rPr>
        <w:t>gồm</w:t>
      </w:r>
      <w:r>
        <w:rPr>
          <w:spacing w:val="4"/>
          <w:sz w:val="28"/>
          <w:szCs w:val="28"/>
        </w:rPr>
        <w:t xml:space="preserve">: </w:t>
      </w:r>
    </w:p>
    <w:p>
      <w:pPr>
        <w:tabs>
          <w:tab w:val="left" w:pos="709"/>
        </w:tabs>
        <w:spacing w:after="120"/>
        <w:jc w:val="both"/>
        <w:rPr>
          <w:spacing w:val="4"/>
          <w:sz w:val="28"/>
          <w:szCs w:val="28"/>
        </w:rPr>
      </w:pPr>
      <w:r>
        <w:rPr>
          <w:spacing w:val="4"/>
          <w:sz w:val="28"/>
          <w:szCs w:val="28"/>
          <w:lang w:val="en-US"/>
        </w:rPr>
        <w:t xml:space="preserve">         -</w:t>
      </w:r>
      <w:r>
        <w:rPr>
          <w:spacing w:val="4"/>
          <w:sz w:val="28"/>
          <w:szCs w:val="28"/>
        </w:rPr>
        <w:t xml:space="preserve"> </w:t>
      </w:r>
      <w:r>
        <w:rPr>
          <w:spacing w:val="4"/>
          <w:sz w:val="28"/>
          <w:szCs w:val="28"/>
          <w:lang w:val="en-US"/>
        </w:rPr>
        <w:t>Bố trí vốn</w:t>
      </w:r>
      <w:r>
        <w:rPr>
          <w:spacing w:val="4"/>
          <w:sz w:val="28"/>
          <w:szCs w:val="28"/>
        </w:rPr>
        <w:t>18.684 triệu đồng</w:t>
      </w:r>
      <w:r>
        <w:rPr>
          <w:spacing w:val="4"/>
          <w:sz w:val="28"/>
          <w:szCs w:val="28"/>
          <w:lang w:val="en-US"/>
        </w:rPr>
        <w:t>,</w:t>
      </w:r>
      <w:r>
        <w:rPr>
          <w:spacing w:val="4"/>
          <w:sz w:val="28"/>
          <w:szCs w:val="28"/>
        </w:rPr>
        <w:t xml:space="preserve"> 07 dự án đã hoàn thành đến năm 2024</w:t>
      </w:r>
      <w:r>
        <w:rPr>
          <w:spacing w:val="4"/>
          <w:sz w:val="28"/>
          <w:szCs w:val="28"/>
          <w:lang w:val="en-US"/>
        </w:rPr>
        <w:t xml:space="preserve">. </w:t>
      </w:r>
    </w:p>
    <w:p>
      <w:pPr>
        <w:tabs>
          <w:tab w:val="left" w:pos="709"/>
        </w:tabs>
        <w:spacing w:after="120"/>
        <w:jc w:val="both"/>
        <w:rPr>
          <w:sz w:val="28"/>
          <w:szCs w:val="28"/>
          <w:lang w:val="da-DK"/>
        </w:rPr>
      </w:pPr>
      <w:r>
        <w:rPr>
          <w:spacing w:val="4"/>
          <w:sz w:val="28"/>
          <w:szCs w:val="28"/>
          <w:lang w:val="en-US"/>
        </w:rPr>
        <w:t xml:space="preserve">         -</w:t>
      </w:r>
      <w:r>
        <w:rPr>
          <w:spacing w:val="4"/>
          <w:sz w:val="28"/>
          <w:szCs w:val="28"/>
        </w:rPr>
        <w:t xml:space="preserve"> </w:t>
      </w:r>
      <w:r>
        <w:rPr>
          <w:spacing w:val="4"/>
          <w:sz w:val="28"/>
          <w:szCs w:val="28"/>
          <w:lang w:val="en-US"/>
        </w:rPr>
        <w:t xml:space="preserve">Bố trí vốn </w:t>
      </w:r>
      <w:r>
        <w:rPr>
          <w:spacing w:val="4"/>
          <w:sz w:val="28"/>
          <w:szCs w:val="28"/>
        </w:rPr>
        <w:t>2.238 triệu đồng</w:t>
      </w:r>
      <w:r>
        <w:rPr>
          <w:spacing w:val="4"/>
          <w:sz w:val="28"/>
          <w:szCs w:val="28"/>
          <w:lang w:val="en-US"/>
        </w:rPr>
        <w:t xml:space="preserve">, </w:t>
      </w:r>
      <w:r>
        <w:rPr>
          <w:spacing w:val="4"/>
          <w:sz w:val="28"/>
          <w:szCs w:val="28"/>
        </w:rPr>
        <w:t>04 dự án dự kiến khởi công mới năm 2025</w:t>
      </w:r>
      <w:r>
        <w:rPr>
          <w:sz w:val="28"/>
          <w:szCs w:val="28"/>
          <w:lang w:val="da-DK"/>
        </w:rPr>
        <w:t>.</w:t>
      </w:r>
    </w:p>
    <w:p>
      <w:pPr>
        <w:tabs>
          <w:tab w:val="left" w:pos="709"/>
        </w:tabs>
        <w:spacing w:after="120"/>
        <w:ind w:firstLine="720"/>
        <w:jc w:val="both"/>
        <w:rPr>
          <w:spacing w:val="4"/>
          <w:sz w:val="28"/>
          <w:szCs w:val="28"/>
        </w:rPr>
      </w:pPr>
      <w:r>
        <w:rPr>
          <w:sz w:val="28"/>
          <w:szCs w:val="28"/>
          <w:lang w:val="da-DK"/>
        </w:rPr>
        <w:t xml:space="preserve">(2) </w:t>
      </w:r>
      <w:r>
        <w:rPr>
          <w:spacing w:val="4"/>
          <w:sz w:val="28"/>
          <w:szCs w:val="28"/>
        </w:rPr>
        <w:t>Phân bổ 171.000 triệu đồng vốn thu tiền sử dụng đất cho 93 dự án</w:t>
      </w:r>
      <w:r>
        <w:rPr>
          <w:spacing w:val="4"/>
          <w:sz w:val="28"/>
          <w:szCs w:val="28"/>
          <w:lang w:val="en-US"/>
        </w:rPr>
        <w:t xml:space="preserve"> (sau khi có thu tiền sử dụng đất thực tế)</w:t>
      </w:r>
      <w:r>
        <w:rPr>
          <w:spacing w:val="4"/>
          <w:sz w:val="28"/>
          <w:szCs w:val="28"/>
        </w:rPr>
        <w:t>,</w:t>
      </w:r>
      <w:r>
        <w:rPr>
          <w:spacing w:val="4"/>
          <w:sz w:val="28"/>
          <w:szCs w:val="28"/>
          <w:lang w:val="en-US"/>
        </w:rPr>
        <w:t xml:space="preserve"> gồm:</w:t>
      </w:r>
      <w:r>
        <w:rPr>
          <w:spacing w:val="4"/>
          <w:sz w:val="28"/>
          <w:szCs w:val="28"/>
        </w:rPr>
        <w:t xml:space="preserve"> </w:t>
      </w:r>
    </w:p>
    <w:p>
      <w:pPr>
        <w:tabs>
          <w:tab w:val="left" w:pos="709"/>
        </w:tabs>
        <w:spacing w:after="120"/>
        <w:ind w:firstLine="720"/>
        <w:jc w:val="both"/>
        <w:rPr>
          <w:spacing w:val="4"/>
          <w:sz w:val="28"/>
          <w:szCs w:val="28"/>
          <w:lang w:val="en-US"/>
        </w:rPr>
      </w:pPr>
      <w:r>
        <w:rPr>
          <w:spacing w:val="4"/>
          <w:sz w:val="28"/>
          <w:szCs w:val="28"/>
          <w:lang w:val="en-US"/>
        </w:rPr>
        <w:t xml:space="preserve">- Bố trí vốn </w:t>
      </w:r>
      <w:r>
        <w:rPr>
          <w:spacing w:val="4"/>
          <w:sz w:val="28"/>
          <w:szCs w:val="28"/>
        </w:rPr>
        <w:t>6.380 triệu đồng</w:t>
      </w:r>
      <w:r>
        <w:rPr>
          <w:spacing w:val="4"/>
          <w:sz w:val="28"/>
          <w:szCs w:val="28"/>
          <w:lang w:val="en-US"/>
        </w:rPr>
        <w:t>,</w:t>
      </w:r>
      <w:r>
        <w:rPr>
          <w:spacing w:val="4"/>
          <w:sz w:val="28"/>
          <w:szCs w:val="28"/>
        </w:rPr>
        <w:t xml:space="preserve"> cho 49 dự án đã được phê duyệt quyết toán dự án hoàn thành, nhưng còn thiếu vốn</w:t>
      </w:r>
      <w:r>
        <w:rPr>
          <w:spacing w:val="4"/>
          <w:sz w:val="28"/>
          <w:szCs w:val="28"/>
          <w:lang w:val="en-US"/>
        </w:rPr>
        <w:t>.</w:t>
      </w:r>
    </w:p>
    <w:p>
      <w:pPr>
        <w:tabs>
          <w:tab w:val="left" w:pos="709"/>
        </w:tabs>
        <w:spacing w:after="120"/>
        <w:ind w:firstLine="720"/>
        <w:jc w:val="both"/>
        <w:rPr>
          <w:spacing w:val="4"/>
          <w:sz w:val="28"/>
          <w:szCs w:val="28"/>
          <w:lang w:val="en-US"/>
        </w:rPr>
      </w:pPr>
      <w:r>
        <w:rPr>
          <w:spacing w:val="4"/>
          <w:sz w:val="28"/>
          <w:szCs w:val="28"/>
          <w:lang w:val="en-US"/>
        </w:rPr>
        <w:t xml:space="preserve">- Bố trí vốn </w:t>
      </w:r>
      <w:r>
        <w:rPr>
          <w:spacing w:val="4"/>
          <w:sz w:val="28"/>
          <w:szCs w:val="28"/>
        </w:rPr>
        <w:t>141.223 triệu đồng cho 43 dự án hoàn thành đến năm 2024</w:t>
      </w:r>
      <w:r>
        <w:rPr>
          <w:spacing w:val="4"/>
          <w:sz w:val="28"/>
          <w:szCs w:val="28"/>
          <w:lang w:val="en-US"/>
        </w:rPr>
        <w:t>.</w:t>
      </w:r>
    </w:p>
    <w:p>
      <w:pPr>
        <w:tabs>
          <w:tab w:val="left" w:pos="709"/>
        </w:tabs>
        <w:spacing w:after="120"/>
        <w:ind w:firstLine="720"/>
        <w:jc w:val="both"/>
        <w:rPr>
          <w:bCs/>
          <w:i/>
          <w:sz w:val="28"/>
          <w:szCs w:val="28"/>
          <w:lang w:val="es-CO"/>
        </w:rPr>
      </w:pPr>
      <w:r>
        <w:rPr>
          <w:spacing w:val="4"/>
          <w:sz w:val="28"/>
          <w:szCs w:val="28"/>
          <w:lang w:val="en-US"/>
        </w:rPr>
        <w:t>- Bố trí vốn</w:t>
      </w:r>
      <w:r>
        <w:rPr>
          <w:spacing w:val="4"/>
          <w:sz w:val="28"/>
          <w:szCs w:val="28"/>
        </w:rPr>
        <w:t xml:space="preserve"> 2.600 triệu đồng cho 01 dự án dự kiến khởi công mới năm 2025; </w:t>
      </w:r>
      <w:r>
        <w:rPr>
          <w:spacing w:val="4"/>
          <w:sz w:val="28"/>
          <w:szCs w:val="28"/>
          <w:lang w:val="da-DK"/>
        </w:rPr>
        <w:t>nguồn</w:t>
      </w:r>
      <w:r>
        <w:rPr>
          <w:spacing w:val="4"/>
          <w:sz w:val="28"/>
          <w:szCs w:val="28"/>
        </w:rPr>
        <w:t xml:space="preserve"> chưa phân bổ là 20.797 triệu đồng</w:t>
      </w:r>
      <w:r>
        <w:rPr>
          <w:bCs/>
          <w:sz w:val="28"/>
          <w:szCs w:val="28"/>
          <w:lang w:val="es-CO"/>
        </w:rPr>
        <w:t>.</w:t>
      </w:r>
      <w:r>
        <w:rPr>
          <w:bCs/>
          <w:i/>
          <w:sz w:val="28"/>
          <w:szCs w:val="28"/>
          <w:lang w:val="es-CO"/>
        </w:rPr>
        <w:t xml:space="preserve"> </w:t>
      </w:r>
    </w:p>
    <w:bookmarkEnd w:id="4"/>
    <w:p>
      <w:pPr>
        <w:tabs>
          <w:tab w:val="left" w:pos="709"/>
        </w:tabs>
        <w:spacing w:after="120"/>
        <w:ind w:firstLine="720"/>
        <w:jc w:val="center"/>
        <w:rPr>
          <w:bCs/>
          <w:i/>
          <w:sz w:val="28"/>
          <w:szCs w:val="28"/>
          <w:lang w:val="es-CO"/>
        </w:rPr>
      </w:pPr>
      <w:r>
        <w:rPr>
          <w:bCs/>
          <w:i/>
          <w:sz w:val="28"/>
          <w:szCs w:val="28"/>
          <w:lang w:val="es-CO"/>
        </w:rPr>
        <w:t>(Biểu chi tiết số 06 kèm theo)</w:t>
      </w:r>
    </w:p>
    <w:p>
      <w:pPr>
        <w:tabs>
          <w:tab w:val="left" w:pos="567"/>
        </w:tabs>
        <w:spacing w:after="120"/>
        <w:ind w:firstLine="720"/>
        <w:rPr>
          <w:rFonts w:eastAsia="Courier New"/>
          <w:b/>
          <w:iCs/>
          <w:sz w:val="28"/>
          <w:szCs w:val="28"/>
          <w:lang w:val="da-DK" w:eastAsia="vi-VN"/>
        </w:rPr>
      </w:pPr>
      <w:r>
        <w:rPr>
          <w:rFonts w:eastAsia="Courier New"/>
          <w:b/>
          <w:iCs/>
          <w:sz w:val="28"/>
          <w:szCs w:val="28"/>
          <w:lang w:val="da-DK" w:eastAsia="vi-VN"/>
        </w:rPr>
        <w:t>6. Giải pháp thực hiện kế hoạch đầu tư công năm 2025</w:t>
      </w:r>
    </w:p>
    <w:p>
      <w:pPr>
        <w:tabs>
          <w:tab w:val="left" w:pos="0"/>
          <w:tab w:val="left" w:pos="709"/>
          <w:tab w:val="left" w:pos="851"/>
        </w:tabs>
        <w:autoSpaceDE/>
        <w:autoSpaceDN/>
        <w:spacing w:after="120"/>
        <w:ind w:firstLine="720"/>
        <w:jc w:val="both"/>
        <w:rPr>
          <w:rFonts w:eastAsia="Calibri"/>
          <w:sz w:val="28"/>
          <w:lang w:val="da-DK"/>
        </w:rPr>
      </w:pPr>
      <w:r>
        <w:rPr>
          <w:rFonts w:eastAsia="Calibri"/>
          <w:sz w:val="28"/>
          <w:lang w:val="da-DK"/>
        </w:rPr>
        <w:t>- Đối với các dự án khởi công mới năm 2025 đẩy nhanh các thủ tục lập tổ chức lựa chọn nhà thầu các gói thầu, hoàn thành trong quý I năm 2025.</w:t>
      </w:r>
    </w:p>
    <w:p>
      <w:pPr>
        <w:tabs>
          <w:tab w:val="left" w:pos="0"/>
          <w:tab w:val="left" w:pos="709"/>
          <w:tab w:val="left" w:pos="851"/>
        </w:tabs>
        <w:autoSpaceDE/>
        <w:autoSpaceDN/>
        <w:spacing w:after="120"/>
        <w:ind w:firstLine="720"/>
        <w:jc w:val="both"/>
        <w:rPr>
          <w:rFonts w:eastAsia="Calibri"/>
          <w:sz w:val="28"/>
          <w:lang w:val="da-DK"/>
        </w:rPr>
      </w:pPr>
      <w:r>
        <w:rPr>
          <w:rFonts w:eastAsia="Calibri"/>
          <w:sz w:val="28"/>
          <w:lang w:val="da-DK"/>
        </w:rPr>
        <w:lastRenderedPageBreak/>
        <w:t>- Tiếp tục tăng cường tuyên truyền về cơ chế chính sách trong công tác GPMB cho nhân dân, vận động nhân dân ủng hộ nhận tiền bổi thường giải phóng mặt bằng, giao đất cho dự án, phối hợp với các Sở, ngành tỉnh và các đơn vị liên quan tháo gỡ, kịp thời những khó khăn, vướng mắc trong giải phóng mặt bằng, đáp ứng yêu cầu về tiến độ giao đất cho dự án đặc biệt là các dự án trọng điểm, các dự án có tính liên kết vùng.</w:t>
      </w:r>
    </w:p>
    <w:p>
      <w:pPr>
        <w:widowControl/>
        <w:autoSpaceDE/>
        <w:autoSpaceDN/>
        <w:spacing w:after="120"/>
        <w:ind w:firstLine="720"/>
        <w:jc w:val="both"/>
        <w:rPr>
          <w:bCs/>
          <w:sz w:val="28"/>
          <w:szCs w:val="28"/>
          <w:lang w:val="da-DK"/>
        </w:rPr>
      </w:pPr>
      <w:r>
        <w:rPr>
          <w:bCs/>
          <w:sz w:val="28"/>
          <w:szCs w:val="28"/>
          <w:lang w:val="da-DK"/>
        </w:rPr>
        <w:t>-  Tiếp tục rà soát quỹ đất, đầu tư xây dựng các cơ sở hạ tầng để đấu giá quyền sử dụng đất tạo nguồn thu đảm bảo chủ động về nguồn lực để tái đầu tư.</w:t>
      </w:r>
    </w:p>
    <w:p>
      <w:pPr>
        <w:widowControl/>
        <w:autoSpaceDE/>
        <w:autoSpaceDN/>
        <w:spacing w:after="120"/>
        <w:ind w:firstLine="720"/>
        <w:jc w:val="both"/>
        <w:rPr>
          <w:bCs/>
          <w:sz w:val="28"/>
          <w:szCs w:val="28"/>
          <w:lang w:val="da-DK"/>
        </w:rPr>
      </w:pPr>
      <w:r>
        <w:rPr>
          <w:bCs/>
          <w:sz w:val="28"/>
          <w:szCs w:val="28"/>
          <w:lang w:val="da-DK"/>
        </w:rPr>
        <w:t xml:space="preserve">- Kiểm soát chặt chẽ, nâng cao chất lượng trong việc lập, thẩm định, phê duyệt chủ trương đầu tư và quyết định đầu tư các dự án đầu tư công. Chấn trỉnh và tăng cường vai trò trách nhiệm quản lý của các Chủ đầu tư trong việc lập, thẩm định, phê duyệt đầu tư và quyết định chủ trương đầu tư các dự án đầu tư công thuộc thẩm quyền. </w:t>
      </w:r>
    </w:p>
    <w:p>
      <w:pPr>
        <w:widowControl/>
        <w:autoSpaceDE/>
        <w:autoSpaceDN/>
        <w:spacing w:after="120" w:line="276" w:lineRule="auto"/>
        <w:ind w:firstLine="720"/>
        <w:jc w:val="both"/>
        <w:rPr>
          <w:bCs/>
          <w:sz w:val="28"/>
          <w:szCs w:val="28"/>
          <w:lang w:val="da-DK"/>
        </w:rPr>
      </w:pPr>
      <w:r>
        <w:rPr>
          <w:bCs/>
          <w:sz w:val="28"/>
          <w:szCs w:val="28"/>
          <w:lang w:val="da-DK"/>
        </w:rPr>
        <w:t>- Chủ động tổ chức kiểm tra, giám sát chặt chẽ, hiệu quả việc triển khai thực hiện kế hoạch đầu tư công năm 2025, linh hoạt trong việc điều chỉnh kế hoạch vốn năm 2025 của các dự án chậm tiến độ, các dự án hết nhu cầu giải ngân, dự án chậm giải ngân sang các dự án có khả năng giải ngân tốt, có nhu cầu bổ sung vốn để đẩy nhanh tiến độ thực hiện.</w:t>
      </w:r>
    </w:p>
    <w:p>
      <w:pPr>
        <w:spacing w:before="120" w:after="120" w:line="264" w:lineRule="auto"/>
        <w:ind w:firstLine="720"/>
        <w:jc w:val="both"/>
        <w:rPr>
          <w:bCs/>
          <w:sz w:val="28"/>
          <w:szCs w:val="28"/>
          <w:lang w:val="es-CO"/>
        </w:rPr>
      </w:pPr>
      <w:r>
        <w:rPr>
          <w:bCs/>
          <w:sz w:val="28"/>
          <w:szCs w:val="28"/>
          <w:lang w:val="da-DK"/>
        </w:rPr>
        <w:t>- Thực hiện quyết liệt các giải pháp đẩy nhanh</w:t>
      </w:r>
      <w:r>
        <w:rPr>
          <w:sz w:val="28"/>
          <w:szCs w:val="28"/>
          <w:lang w:val="da-DK"/>
        </w:rPr>
        <w:t xml:space="preserve"> tiến độ thực hiện dự án; kịp thời tháo gỡ khó khăn, vướng mắc trong quá trình thực hiện dự án,</w:t>
      </w:r>
      <w:r>
        <w:rPr>
          <w:bCs/>
          <w:sz w:val="28"/>
          <w:szCs w:val="28"/>
          <w:lang w:val="da-DK"/>
        </w:rPr>
        <w:t xml:space="preserve"> tiến độ giải ngân vốn đầu tư công trong năm, bảo đảm giải ngân hết kế hoạch vốn được giao, tránh việc bị cắt giảm kế hoạch vốn đầu tư công trung hạn tương ứng với số vốn không giải ngân hết, không được kéo dài thời gian thực hiện và giải ngân và bị hủy dự toán theo quy định.</w:t>
      </w:r>
    </w:p>
    <w:p>
      <w:pPr>
        <w:tabs>
          <w:tab w:val="left" w:pos="0"/>
        </w:tabs>
        <w:spacing w:before="60" w:after="60"/>
        <w:ind w:firstLine="709"/>
        <w:jc w:val="both"/>
        <w:rPr>
          <w:sz w:val="28"/>
          <w:szCs w:val="28"/>
          <w:lang w:val="es-CO"/>
        </w:rPr>
      </w:pPr>
      <w:r>
        <w:rPr>
          <w:sz w:val="28"/>
          <w:szCs w:val="28"/>
          <w:lang w:val="es-CO"/>
        </w:rPr>
        <w:t>Trên đây là Báo cáo kết quả thực hiện kế hoạch đầu tư công năm 2024 và dự kiến kế hoạch đầu tư công năm 2025 của UBND thành phố Điện Biên Phủ./.</w:t>
      </w:r>
    </w:p>
    <w:tbl>
      <w:tblPr>
        <w:tblW w:w="9322" w:type="dxa"/>
        <w:tblLook w:val="01E0" w:firstRow="1" w:lastRow="1" w:firstColumn="1" w:lastColumn="1" w:noHBand="0" w:noVBand="0"/>
      </w:tblPr>
      <w:tblGrid>
        <w:gridCol w:w="4219"/>
        <w:gridCol w:w="5103"/>
      </w:tblGrid>
      <w:tr>
        <w:tc>
          <w:tcPr>
            <w:tcW w:w="4219" w:type="dxa"/>
          </w:tcPr>
          <w:p>
            <w:pPr>
              <w:jc w:val="both"/>
              <w:rPr>
                <w:b/>
                <w:i/>
                <w:sz w:val="24"/>
                <w:lang w:val="da-DK"/>
              </w:rPr>
            </w:pPr>
          </w:p>
          <w:p>
            <w:pPr>
              <w:jc w:val="both"/>
              <w:rPr>
                <w:b/>
                <w:i/>
                <w:sz w:val="24"/>
                <w:lang w:val="da-DK"/>
              </w:rPr>
            </w:pPr>
            <w:r>
              <w:rPr>
                <w:b/>
                <w:i/>
                <w:sz w:val="24"/>
                <w:lang w:val="da-DK"/>
              </w:rPr>
              <w:t>Nơi nhận:</w:t>
            </w:r>
          </w:p>
          <w:p>
            <w:pPr>
              <w:jc w:val="both"/>
            </w:pPr>
            <w:r>
              <w:rPr>
                <w:lang w:val="da-DK"/>
              </w:rPr>
              <w:t>- TT. Thành uỷ TP (B/c);</w:t>
            </w:r>
            <w:r>
              <w:t xml:space="preserve"> </w:t>
            </w:r>
          </w:p>
          <w:p>
            <w:pPr>
              <w:jc w:val="both"/>
              <w:rPr>
                <w:lang w:val="en-US"/>
              </w:rPr>
            </w:pPr>
            <w:r>
              <w:t>- TT. HĐND TP</w:t>
            </w:r>
            <w:r>
              <w:rPr>
                <w:lang w:val="da-DK"/>
              </w:rPr>
              <w:t xml:space="preserve"> (B/c)</w:t>
            </w:r>
            <w:r>
              <w:t xml:space="preserve">;                       </w:t>
            </w:r>
          </w:p>
          <w:p>
            <w:pPr>
              <w:jc w:val="both"/>
            </w:pPr>
            <w:r>
              <w:t xml:space="preserve">- Lãnh đạo UBND thành phố; </w:t>
            </w:r>
          </w:p>
          <w:p>
            <w:pPr>
              <w:jc w:val="both"/>
            </w:pPr>
            <w:r>
              <w:rPr>
                <w:lang w:val="sv-SE"/>
              </w:rPr>
              <w:t>- Lưu: VT, TCKH.</w:t>
            </w:r>
          </w:p>
        </w:tc>
        <w:tc>
          <w:tcPr>
            <w:tcW w:w="5103" w:type="dxa"/>
          </w:tcPr>
          <w:p>
            <w:pPr>
              <w:jc w:val="center"/>
              <w:rPr>
                <w:b/>
                <w:sz w:val="28"/>
                <w:szCs w:val="28"/>
              </w:rPr>
            </w:pPr>
          </w:p>
          <w:p>
            <w:pPr>
              <w:jc w:val="center"/>
              <w:rPr>
                <w:b/>
                <w:sz w:val="28"/>
                <w:szCs w:val="28"/>
              </w:rPr>
            </w:pPr>
            <w:r>
              <w:rPr>
                <w:b/>
                <w:sz w:val="28"/>
                <w:szCs w:val="28"/>
              </w:rPr>
              <w:t>TM. ỦY BAN NHÂN DÂN</w:t>
            </w:r>
          </w:p>
          <w:p>
            <w:pPr>
              <w:jc w:val="center"/>
              <w:rPr>
                <w:b/>
                <w:sz w:val="28"/>
                <w:szCs w:val="28"/>
              </w:rPr>
            </w:pPr>
            <w:r>
              <w:rPr>
                <w:b/>
                <w:sz w:val="28"/>
                <w:szCs w:val="28"/>
              </w:rPr>
              <w:t>CHỦ TỊCH</w:t>
            </w:r>
          </w:p>
          <w:p>
            <w:pPr>
              <w:jc w:val="center"/>
              <w:rPr>
                <w:b/>
                <w:sz w:val="52"/>
                <w:szCs w:val="52"/>
              </w:rPr>
            </w:pPr>
          </w:p>
          <w:p>
            <w:pPr>
              <w:rPr>
                <w:b/>
                <w:sz w:val="28"/>
                <w:szCs w:val="28"/>
              </w:rPr>
            </w:pPr>
          </w:p>
          <w:p>
            <w:pPr>
              <w:rPr>
                <w:b/>
                <w:sz w:val="28"/>
                <w:szCs w:val="28"/>
              </w:rPr>
            </w:pPr>
          </w:p>
          <w:p>
            <w:pPr>
              <w:rPr>
                <w:b/>
                <w:sz w:val="28"/>
                <w:szCs w:val="28"/>
              </w:rPr>
            </w:pPr>
          </w:p>
          <w:p>
            <w:pPr>
              <w:rPr>
                <w:b/>
                <w:sz w:val="28"/>
                <w:szCs w:val="28"/>
              </w:rPr>
            </w:pPr>
          </w:p>
          <w:p>
            <w:pPr>
              <w:jc w:val="center"/>
              <w:rPr>
                <w:b/>
                <w:sz w:val="28"/>
                <w:szCs w:val="28"/>
                <w:lang w:val="en-US"/>
              </w:rPr>
            </w:pPr>
            <w:r>
              <w:rPr>
                <w:b/>
                <w:sz w:val="28"/>
                <w:szCs w:val="28"/>
                <w:lang w:val="en-US"/>
              </w:rPr>
              <w:t>Nguyễn Quang Hưng</w:t>
            </w:r>
          </w:p>
        </w:tc>
      </w:tr>
    </w:tbl>
    <w:p>
      <w:pPr>
        <w:ind w:left="882" w:right="730"/>
        <w:jc w:val="center"/>
        <w:rPr>
          <w:b/>
          <w:sz w:val="28"/>
          <w:lang w:val="en-US"/>
        </w:rPr>
      </w:pPr>
    </w:p>
    <w:sectPr>
      <w:headerReference w:type="default" r:id="rId8"/>
      <w:pgSz w:w="11910" w:h="16850"/>
      <w:pgMar w:top="1134" w:right="1134" w:bottom="1134" w:left="1701" w:header="57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FootnoteText"/>
        <w:ind w:firstLine="720"/>
        <w:jc w:val="both"/>
        <w:rPr>
          <w:color w:val="auto"/>
        </w:rPr>
      </w:pPr>
      <w:r>
        <w:rPr>
          <w:rStyle w:val="FootnoteReference"/>
          <w:color w:val="auto"/>
        </w:rPr>
        <w:footnoteRef/>
      </w:r>
      <w:r>
        <w:rPr>
          <w:color w:val="auto"/>
        </w:rPr>
        <w:t xml:space="preserve"> </w:t>
      </w:r>
      <w:r>
        <w:rPr>
          <w:color w:val="auto"/>
          <w:spacing w:val="-4"/>
        </w:rPr>
        <w:t xml:space="preserve"> Kế hoạch số 799/KH-UBND ngày 25/3/2024 của UBND thành phố kế hoạch thực hiện tiến độ và cam kết giải ngân kế hoạch đầu tư công năm 2024 trên địa bàn thành phố Điện Biên Phủ; </w:t>
      </w:r>
      <w:r>
        <w:rPr>
          <w:color w:val="auto"/>
          <w:lang w:val="nl-NL"/>
        </w:rPr>
        <w:t xml:space="preserve">Văn bản số 1127/CV-UBND ngày 26/4/2024 của UBND thành phố Điện Biên Phủ về việc </w:t>
      </w:r>
      <w:r>
        <w:rPr>
          <w:color w:val="auto"/>
        </w:rPr>
        <w:t xml:space="preserve">tiếp tục đẩy nhanh tiến độ giải ngân kế hoạch vốn đầu tư công năm 2024; Văn bản số 1245/CV-UBND ngày 08/5/2024 của UBND thành phố Điện Biên Phủ về việc đẩy nhanh tiến độ thực hiện giải ngân kế hoạch vốn các Chương trình MTQG (gồm cả vốn đầu tư, vốn sự nghiệp) trên địa bàn thành phố năm 2024; Văn bản số: 2746/CV/TU ngày 22/8/2024 của Thành uỷ Điện Biện Phủ về việc đôn đốc đẩy mạnh giải ngân vốn đầu tư công những tháng cuối năm 2024. Văn bản số: 1759/UBND-TCKH ngày 18/6/2024 </w:t>
      </w:r>
      <w:r>
        <w:rPr>
          <w:color w:val="auto"/>
          <w:spacing w:val="-4"/>
        </w:rPr>
        <w:t xml:space="preserve">của UBND thành phố </w:t>
      </w:r>
      <w:r>
        <w:rPr>
          <w:color w:val="auto"/>
        </w:rPr>
        <w:t xml:space="preserve">về việc đôn đốc đẩy mạnh thực hiện giải ngân vốn đầu tư công năm 2024; Văn bản số: 2486/UBND-TCKH ngày 28/8/2024 </w:t>
      </w:r>
      <w:r>
        <w:rPr>
          <w:color w:val="auto"/>
          <w:spacing w:val="-4"/>
        </w:rPr>
        <w:t xml:space="preserve">của UBND thành phố </w:t>
      </w:r>
      <w:r>
        <w:rPr>
          <w:color w:val="auto"/>
        </w:rPr>
        <w:t xml:space="preserve">về việc đôn đốc đẩy mạnh thực hiện giải ngân vốn đầu tư công những tháng cuối năm 2024; Văn bản số: 2893/UBND-TCKH ngày 14/10/2024 </w:t>
      </w:r>
      <w:r>
        <w:rPr>
          <w:color w:val="auto"/>
          <w:spacing w:val="-4"/>
        </w:rPr>
        <w:t xml:space="preserve">của UBND thành phố </w:t>
      </w:r>
      <w:r>
        <w:rPr>
          <w:color w:val="auto"/>
        </w:rPr>
        <w:t>về việc đẩy nhanh tiến độ thực hiện giải ngân vốn đầu tư công những tháng cuối năm 2024 và rà soát điều chỉnh kế hoạch vốn nguồn ngân sách địa phương thành phố quản lý (30%).</w:t>
      </w:r>
    </w:p>
    <w:p>
      <w:pPr>
        <w:pStyle w:val="FootnoteText"/>
        <w:ind w:firstLine="720"/>
        <w:jc w:val="both"/>
        <w:rPr>
          <w:color w:val="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402415"/>
      <w:docPartObj>
        <w:docPartGallery w:val="Page Numbers (Top of Page)"/>
        <w:docPartUnique/>
      </w:docPartObj>
    </w:sdtPr>
    <w:sdtEndPr>
      <w:rPr>
        <w:noProof/>
        <w:sz w:val="26"/>
        <w:szCs w:val="26"/>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D5C"/>
    <w:multiLevelType w:val="multilevel"/>
    <w:tmpl w:val="412C8BBE"/>
    <w:lvl w:ilvl="0">
      <w:start w:val="7"/>
      <w:numFmt w:val="decimal"/>
      <w:suff w:val="space"/>
      <w:lvlText w:val="%1."/>
      <w:lvlJc w:val="left"/>
      <w:pPr>
        <w:ind w:left="0" w:firstLine="0"/>
      </w:pPr>
      <w:rPr>
        <w:rFonts w:hint="default"/>
      </w:rPr>
    </w:lvl>
    <w:lvl w:ilvl="1">
      <w:start w:val="1"/>
      <w:numFmt w:val="lowerLetter"/>
      <w:lvlText w:val="%2."/>
      <w:lvlJc w:val="left"/>
      <w:pPr>
        <w:ind w:left="2058" w:hanging="360"/>
      </w:pPr>
      <w:rPr>
        <w:rFonts w:hint="default"/>
      </w:rPr>
    </w:lvl>
    <w:lvl w:ilvl="2">
      <w:start w:val="1"/>
      <w:numFmt w:val="lowerRoman"/>
      <w:lvlText w:val="%3."/>
      <w:lvlJc w:val="right"/>
      <w:pPr>
        <w:ind w:left="2778" w:hanging="180"/>
      </w:pPr>
      <w:rPr>
        <w:rFonts w:hint="default"/>
      </w:rPr>
    </w:lvl>
    <w:lvl w:ilvl="3">
      <w:start w:val="1"/>
      <w:numFmt w:val="decimal"/>
      <w:lvlText w:val="%4."/>
      <w:lvlJc w:val="left"/>
      <w:pPr>
        <w:ind w:left="3498" w:hanging="360"/>
      </w:pPr>
      <w:rPr>
        <w:rFonts w:hint="default"/>
      </w:rPr>
    </w:lvl>
    <w:lvl w:ilvl="4">
      <w:start w:val="1"/>
      <w:numFmt w:val="lowerLetter"/>
      <w:lvlText w:val="%5."/>
      <w:lvlJc w:val="left"/>
      <w:pPr>
        <w:ind w:left="4218" w:hanging="360"/>
      </w:pPr>
      <w:rPr>
        <w:rFonts w:hint="default"/>
      </w:rPr>
    </w:lvl>
    <w:lvl w:ilvl="5">
      <w:start w:val="1"/>
      <w:numFmt w:val="lowerRoman"/>
      <w:lvlText w:val="%6."/>
      <w:lvlJc w:val="right"/>
      <w:pPr>
        <w:ind w:left="4938" w:hanging="180"/>
      </w:pPr>
      <w:rPr>
        <w:rFonts w:hint="default"/>
      </w:rPr>
    </w:lvl>
    <w:lvl w:ilvl="6">
      <w:start w:val="1"/>
      <w:numFmt w:val="decimal"/>
      <w:lvlText w:val="%7."/>
      <w:lvlJc w:val="left"/>
      <w:pPr>
        <w:ind w:left="5658" w:hanging="360"/>
      </w:pPr>
      <w:rPr>
        <w:rFonts w:hint="default"/>
      </w:rPr>
    </w:lvl>
    <w:lvl w:ilvl="7">
      <w:start w:val="1"/>
      <w:numFmt w:val="lowerLetter"/>
      <w:lvlText w:val="%8."/>
      <w:lvlJc w:val="left"/>
      <w:pPr>
        <w:ind w:left="6378" w:hanging="360"/>
      </w:pPr>
      <w:rPr>
        <w:rFonts w:hint="default"/>
      </w:rPr>
    </w:lvl>
    <w:lvl w:ilvl="8">
      <w:start w:val="1"/>
      <w:numFmt w:val="lowerRoman"/>
      <w:lvlText w:val="%9."/>
      <w:lvlJc w:val="right"/>
      <w:pPr>
        <w:ind w:left="7098" w:hanging="180"/>
      </w:pPr>
      <w:rPr>
        <w:rFonts w:hint="default"/>
      </w:rPr>
    </w:lvl>
  </w:abstractNum>
  <w:abstractNum w:abstractNumId="1" w15:restartNumberingAfterBreak="0">
    <w:nsid w:val="108F73E7"/>
    <w:multiLevelType w:val="hybridMultilevel"/>
    <w:tmpl w:val="000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18C9"/>
    <w:multiLevelType w:val="hybridMultilevel"/>
    <w:tmpl w:val="0CFA5808"/>
    <w:lvl w:ilvl="0" w:tplc="E6CCC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A377F"/>
    <w:multiLevelType w:val="multilevel"/>
    <w:tmpl w:val="5DB8DBB6"/>
    <w:lvl w:ilvl="0">
      <w:start w:val="1"/>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683FAF"/>
    <w:multiLevelType w:val="multilevel"/>
    <w:tmpl w:val="D3D421E2"/>
    <w:lvl w:ilvl="0">
      <w:numFmt w:val="bullet"/>
      <w:suff w:val="space"/>
      <w:lvlText w:val="-"/>
      <w:lvlJc w:val="left"/>
      <w:pPr>
        <w:ind w:left="0" w:firstLine="0"/>
      </w:pPr>
      <w:rPr>
        <w:rFonts w:ascii="Times New Roman" w:hAnsi="Times New Roman" w:cs="Times New Roman" w:hint="default"/>
        <w:b w:val="0"/>
        <w:bCs w:val="0"/>
        <w:i w:val="0"/>
        <w:iCs w:val="0"/>
        <w:spacing w:val="0"/>
        <w:w w:val="100"/>
        <w:sz w:val="28"/>
      </w:rPr>
    </w:lvl>
    <w:lvl w:ilvl="1">
      <w:numFmt w:val="bullet"/>
      <w:lvlText w:val="•"/>
      <w:lvlJc w:val="left"/>
      <w:pPr>
        <w:ind w:left="1234" w:hanging="207"/>
      </w:pPr>
      <w:rPr>
        <w:rFonts w:hint="default"/>
      </w:rPr>
    </w:lvl>
    <w:lvl w:ilvl="2">
      <w:numFmt w:val="bullet"/>
      <w:lvlText w:val="•"/>
      <w:lvlJc w:val="left"/>
      <w:pPr>
        <w:ind w:left="2209" w:hanging="207"/>
      </w:pPr>
      <w:rPr>
        <w:rFonts w:hint="default"/>
      </w:rPr>
    </w:lvl>
    <w:lvl w:ilvl="3">
      <w:numFmt w:val="bullet"/>
      <w:lvlText w:val="•"/>
      <w:lvlJc w:val="left"/>
      <w:pPr>
        <w:ind w:left="3183" w:hanging="207"/>
      </w:pPr>
      <w:rPr>
        <w:rFonts w:hint="default"/>
      </w:rPr>
    </w:lvl>
    <w:lvl w:ilvl="4">
      <w:numFmt w:val="bullet"/>
      <w:lvlText w:val="•"/>
      <w:lvlJc w:val="left"/>
      <w:pPr>
        <w:ind w:left="4158" w:hanging="207"/>
      </w:pPr>
      <w:rPr>
        <w:rFonts w:hint="default"/>
      </w:rPr>
    </w:lvl>
    <w:lvl w:ilvl="5">
      <w:numFmt w:val="bullet"/>
      <w:lvlText w:val="•"/>
      <w:lvlJc w:val="left"/>
      <w:pPr>
        <w:ind w:left="5133" w:hanging="207"/>
      </w:pPr>
      <w:rPr>
        <w:rFonts w:hint="default"/>
      </w:rPr>
    </w:lvl>
    <w:lvl w:ilvl="6">
      <w:numFmt w:val="bullet"/>
      <w:lvlText w:val="•"/>
      <w:lvlJc w:val="left"/>
      <w:pPr>
        <w:ind w:left="6107" w:hanging="207"/>
      </w:pPr>
      <w:rPr>
        <w:rFonts w:hint="default"/>
      </w:rPr>
    </w:lvl>
    <w:lvl w:ilvl="7">
      <w:numFmt w:val="bullet"/>
      <w:lvlText w:val="•"/>
      <w:lvlJc w:val="left"/>
      <w:pPr>
        <w:ind w:left="7082" w:hanging="207"/>
      </w:pPr>
      <w:rPr>
        <w:rFonts w:hint="default"/>
      </w:rPr>
    </w:lvl>
    <w:lvl w:ilvl="8">
      <w:numFmt w:val="bullet"/>
      <w:lvlText w:val="•"/>
      <w:lvlJc w:val="left"/>
      <w:pPr>
        <w:ind w:left="8057" w:hanging="207"/>
      </w:pPr>
      <w:rPr>
        <w:rFonts w:hint="default"/>
      </w:rPr>
    </w:lvl>
  </w:abstractNum>
  <w:abstractNum w:abstractNumId="5" w15:restartNumberingAfterBreak="0">
    <w:nsid w:val="239370FB"/>
    <w:multiLevelType w:val="multilevel"/>
    <w:tmpl w:val="57F6FCB8"/>
    <w:lvl w:ilvl="0">
      <w:start w:val="2"/>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38490B3A"/>
    <w:multiLevelType w:val="hybridMultilevel"/>
    <w:tmpl w:val="A3F4540A"/>
    <w:lvl w:ilvl="0" w:tplc="7716F7A8">
      <w:numFmt w:val="bullet"/>
      <w:lvlText w:val="-"/>
      <w:lvlJc w:val="left"/>
      <w:pPr>
        <w:ind w:left="258" w:hanging="197"/>
      </w:pPr>
      <w:rPr>
        <w:rFonts w:ascii="Times New Roman" w:eastAsia="Times New Roman" w:hAnsi="Times New Roman" w:cs="Times New Roman" w:hint="default"/>
        <w:b w:val="0"/>
        <w:bCs w:val="0"/>
        <w:i w:val="0"/>
        <w:iCs w:val="0"/>
        <w:spacing w:val="0"/>
        <w:w w:val="100"/>
        <w:sz w:val="28"/>
        <w:szCs w:val="28"/>
        <w:lang w:val="vi" w:eastAsia="en-US" w:bidi="ar-SA"/>
      </w:rPr>
    </w:lvl>
    <w:lvl w:ilvl="1" w:tplc="6F00F142">
      <w:numFmt w:val="bullet"/>
      <w:lvlText w:val="•"/>
      <w:lvlJc w:val="left"/>
      <w:pPr>
        <w:ind w:left="1234" w:hanging="197"/>
      </w:pPr>
      <w:rPr>
        <w:rFonts w:hint="default"/>
        <w:lang w:val="vi" w:eastAsia="en-US" w:bidi="ar-SA"/>
      </w:rPr>
    </w:lvl>
    <w:lvl w:ilvl="2" w:tplc="0666E69C">
      <w:numFmt w:val="bullet"/>
      <w:lvlText w:val="•"/>
      <w:lvlJc w:val="left"/>
      <w:pPr>
        <w:ind w:left="2209" w:hanging="197"/>
      </w:pPr>
      <w:rPr>
        <w:rFonts w:hint="default"/>
        <w:lang w:val="vi" w:eastAsia="en-US" w:bidi="ar-SA"/>
      </w:rPr>
    </w:lvl>
    <w:lvl w:ilvl="3" w:tplc="8A882164">
      <w:numFmt w:val="bullet"/>
      <w:lvlText w:val="•"/>
      <w:lvlJc w:val="left"/>
      <w:pPr>
        <w:ind w:left="3183" w:hanging="197"/>
      </w:pPr>
      <w:rPr>
        <w:rFonts w:hint="default"/>
        <w:lang w:val="vi" w:eastAsia="en-US" w:bidi="ar-SA"/>
      </w:rPr>
    </w:lvl>
    <w:lvl w:ilvl="4" w:tplc="74A2DA34">
      <w:numFmt w:val="bullet"/>
      <w:lvlText w:val="•"/>
      <w:lvlJc w:val="left"/>
      <w:pPr>
        <w:ind w:left="4158" w:hanging="197"/>
      </w:pPr>
      <w:rPr>
        <w:rFonts w:hint="default"/>
        <w:lang w:val="vi" w:eastAsia="en-US" w:bidi="ar-SA"/>
      </w:rPr>
    </w:lvl>
    <w:lvl w:ilvl="5" w:tplc="9948F2B2">
      <w:numFmt w:val="bullet"/>
      <w:lvlText w:val="•"/>
      <w:lvlJc w:val="left"/>
      <w:pPr>
        <w:ind w:left="5133" w:hanging="197"/>
      </w:pPr>
      <w:rPr>
        <w:rFonts w:hint="default"/>
        <w:lang w:val="vi" w:eastAsia="en-US" w:bidi="ar-SA"/>
      </w:rPr>
    </w:lvl>
    <w:lvl w:ilvl="6" w:tplc="4DA28DBA">
      <w:numFmt w:val="bullet"/>
      <w:lvlText w:val="•"/>
      <w:lvlJc w:val="left"/>
      <w:pPr>
        <w:ind w:left="6107" w:hanging="197"/>
      </w:pPr>
      <w:rPr>
        <w:rFonts w:hint="default"/>
        <w:lang w:val="vi" w:eastAsia="en-US" w:bidi="ar-SA"/>
      </w:rPr>
    </w:lvl>
    <w:lvl w:ilvl="7" w:tplc="948C3530">
      <w:numFmt w:val="bullet"/>
      <w:lvlText w:val="•"/>
      <w:lvlJc w:val="left"/>
      <w:pPr>
        <w:ind w:left="7082" w:hanging="197"/>
      </w:pPr>
      <w:rPr>
        <w:rFonts w:hint="default"/>
        <w:lang w:val="vi" w:eastAsia="en-US" w:bidi="ar-SA"/>
      </w:rPr>
    </w:lvl>
    <w:lvl w:ilvl="8" w:tplc="CE32DF46">
      <w:numFmt w:val="bullet"/>
      <w:lvlText w:val="•"/>
      <w:lvlJc w:val="left"/>
      <w:pPr>
        <w:ind w:left="8057" w:hanging="197"/>
      </w:pPr>
      <w:rPr>
        <w:rFonts w:hint="default"/>
        <w:lang w:val="vi" w:eastAsia="en-US" w:bidi="ar-SA"/>
      </w:rPr>
    </w:lvl>
  </w:abstractNum>
  <w:abstractNum w:abstractNumId="7" w15:restartNumberingAfterBreak="0">
    <w:nsid w:val="3A297F23"/>
    <w:multiLevelType w:val="hybridMultilevel"/>
    <w:tmpl w:val="65141884"/>
    <w:lvl w:ilvl="0" w:tplc="E0EA1902">
      <w:numFmt w:val="bullet"/>
      <w:lvlText w:val="-"/>
      <w:lvlJc w:val="left"/>
      <w:pPr>
        <w:ind w:left="25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DA34AC86">
      <w:numFmt w:val="bullet"/>
      <w:lvlText w:val="•"/>
      <w:lvlJc w:val="left"/>
      <w:pPr>
        <w:ind w:left="1234" w:hanging="171"/>
      </w:pPr>
      <w:rPr>
        <w:rFonts w:hint="default"/>
        <w:lang w:val="vi" w:eastAsia="en-US" w:bidi="ar-SA"/>
      </w:rPr>
    </w:lvl>
    <w:lvl w:ilvl="2" w:tplc="19124E76">
      <w:numFmt w:val="bullet"/>
      <w:lvlText w:val="•"/>
      <w:lvlJc w:val="left"/>
      <w:pPr>
        <w:ind w:left="2209" w:hanging="171"/>
      </w:pPr>
      <w:rPr>
        <w:rFonts w:hint="default"/>
        <w:lang w:val="vi" w:eastAsia="en-US" w:bidi="ar-SA"/>
      </w:rPr>
    </w:lvl>
    <w:lvl w:ilvl="3" w:tplc="7EF0560A">
      <w:numFmt w:val="bullet"/>
      <w:lvlText w:val="•"/>
      <w:lvlJc w:val="left"/>
      <w:pPr>
        <w:ind w:left="3183" w:hanging="171"/>
      </w:pPr>
      <w:rPr>
        <w:rFonts w:hint="default"/>
        <w:lang w:val="vi" w:eastAsia="en-US" w:bidi="ar-SA"/>
      </w:rPr>
    </w:lvl>
    <w:lvl w:ilvl="4" w:tplc="3F144F00">
      <w:numFmt w:val="bullet"/>
      <w:lvlText w:val="•"/>
      <w:lvlJc w:val="left"/>
      <w:pPr>
        <w:ind w:left="4158" w:hanging="171"/>
      </w:pPr>
      <w:rPr>
        <w:rFonts w:hint="default"/>
        <w:lang w:val="vi" w:eastAsia="en-US" w:bidi="ar-SA"/>
      </w:rPr>
    </w:lvl>
    <w:lvl w:ilvl="5" w:tplc="06A4061C">
      <w:numFmt w:val="bullet"/>
      <w:lvlText w:val="•"/>
      <w:lvlJc w:val="left"/>
      <w:pPr>
        <w:ind w:left="5133" w:hanging="171"/>
      </w:pPr>
      <w:rPr>
        <w:rFonts w:hint="default"/>
        <w:lang w:val="vi" w:eastAsia="en-US" w:bidi="ar-SA"/>
      </w:rPr>
    </w:lvl>
    <w:lvl w:ilvl="6" w:tplc="C074D4F2">
      <w:numFmt w:val="bullet"/>
      <w:lvlText w:val="•"/>
      <w:lvlJc w:val="left"/>
      <w:pPr>
        <w:ind w:left="6107" w:hanging="171"/>
      </w:pPr>
      <w:rPr>
        <w:rFonts w:hint="default"/>
        <w:lang w:val="vi" w:eastAsia="en-US" w:bidi="ar-SA"/>
      </w:rPr>
    </w:lvl>
    <w:lvl w:ilvl="7" w:tplc="DDCEB94E">
      <w:numFmt w:val="bullet"/>
      <w:lvlText w:val="•"/>
      <w:lvlJc w:val="left"/>
      <w:pPr>
        <w:ind w:left="7082" w:hanging="171"/>
      </w:pPr>
      <w:rPr>
        <w:rFonts w:hint="default"/>
        <w:lang w:val="vi" w:eastAsia="en-US" w:bidi="ar-SA"/>
      </w:rPr>
    </w:lvl>
    <w:lvl w:ilvl="8" w:tplc="5546BE7A">
      <w:numFmt w:val="bullet"/>
      <w:lvlText w:val="•"/>
      <w:lvlJc w:val="left"/>
      <w:pPr>
        <w:ind w:left="8057" w:hanging="171"/>
      </w:pPr>
      <w:rPr>
        <w:rFonts w:hint="default"/>
        <w:lang w:val="vi" w:eastAsia="en-US" w:bidi="ar-SA"/>
      </w:rPr>
    </w:lvl>
  </w:abstractNum>
  <w:abstractNum w:abstractNumId="8" w15:restartNumberingAfterBreak="0">
    <w:nsid w:val="3CBC2760"/>
    <w:multiLevelType w:val="multilevel"/>
    <w:tmpl w:val="5EEE3674"/>
    <w:lvl w:ilvl="0">
      <w:numFmt w:val="bullet"/>
      <w:suff w:val="space"/>
      <w:lvlText w:val="-"/>
      <w:lvlJc w:val="left"/>
      <w:pPr>
        <w:ind w:left="0" w:firstLine="0"/>
      </w:pPr>
      <w:rPr>
        <w:rFonts w:ascii="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34" w:hanging="195"/>
      </w:pPr>
      <w:rPr>
        <w:rFonts w:hint="default"/>
        <w:lang w:val="vi" w:eastAsia="en-US" w:bidi="ar-SA"/>
      </w:rPr>
    </w:lvl>
    <w:lvl w:ilvl="2">
      <w:numFmt w:val="bullet"/>
      <w:lvlText w:val="•"/>
      <w:lvlJc w:val="left"/>
      <w:pPr>
        <w:ind w:left="2209" w:hanging="195"/>
      </w:pPr>
      <w:rPr>
        <w:rFonts w:hint="default"/>
        <w:lang w:val="vi" w:eastAsia="en-US" w:bidi="ar-SA"/>
      </w:rPr>
    </w:lvl>
    <w:lvl w:ilvl="3">
      <w:numFmt w:val="bullet"/>
      <w:lvlText w:val="•"/>
      <w:lvlJc w:val="left"/>
      <w:pPr>
        <w:ind w:left="3183" w:hanging="195"/>
      </w:pPr>
      <w:rPr>
        <w:rFonts w:hint="default"/>
        <w:lang w:val="vi" w:eastAsia="en-US" w:bidi="ar-SA"/>
      </w:rPr>
    </w:lvl>
    <w:lvl w:ilvl="4">
      <w:numFmt w:val="bullet"/>
      <w:lvlText w:val="•"/>
      <w:lvlJc w:val="left"/>
      <w:pPr>
        <w:ind w:left="4158" w:hanging="195"/>
      </w:pPr>
      <w:rPr>
        <w:rFonts w:hint="default"/>
        <w:lang w:val="vi" w:eastAsia="en-US" w:bidi="ar-SA"/>
      </w:rPr>
    </w:lvl>
    <w:lvl w:ilvl="5">
      <w:numFmt w:val="bullet"/>
      <w:lvlText w:val="•"/>
      <w:lvlJc w:val="left"/>
      <w:pPr>
        <w:ind w:left="5133" w:hanging="195"/>
      </w:pPr>
      <w:rPr>
        <w:rFonts w:hint="default"/>
        <w:lang w:val="vi" w:eastAsia="en-US" w:bidi="ar-SA"/>
      </w:rPr>
    </w:lvl>
    <w:lvl w:ilvl="6">
      <w:numFmt w:val="bullet"/>
      <w:lvlText w:val="•"/>
      <w:lvlJc w:val="left"/>
      <w:pPr>
        <w:ind w:left="6107" w:hanging="195"/>
      </w:pPr>
      <w:rPr>
        <w:rFonts w:hint="default"/>
        <w:lang w:val="vi" w:eastAsia="en-US" w:bidi="ar-SA"/>
      </w:rPr>
    </w:lvl>
    <w:lvl w:ilvl="7">
      <w:numFmt w:val="bullet"/>
      <w:lvlText w:val="•"/>
      <w:lvlJc w:val="left"/>
      <w:pPr>
        <w:ind w:left="7082" w:hanging="195"/>
      </w:pPr>
      <w:rPr>
        <w:rFonts w:hint="default"/>
        <w:lang w:val="vi" w:eastAsia="en-US" w:bidi="ar-SA"/>
      </w:rPr>
    </w:lvl>
    <w:lvl w:ilvl="8">
      <w:numFmt w:val="bullet"/>
      <w:lvlText w:val="•"/>
      <w:lvlJc w:val="left"/>
      <w:pPr>
        <w:ind w:left="8057" w:hanging="195"/>
      </w:pPr>
      <w:rPr>
        <w:rFonts w:hint="default"/>
        <w:lang w:val="vi" w:eastAsia="en-US" w:bidi="ar-SA"/>
      </w:rPr>
    </w:lvl>
  </w:abstractNum>
  <w:abstractNum w:abstractNumId="9" w15:restartNumberingAfterBreak="0">
    <w:nsid w:val="3D704516"/>
    <w:multiLevelType w:val="multilevel"/>
    <w:tmpl w:val="97CCD7C4"/>
    <w:lvl w:ilvl="0">
      <w:start w:val="8"/>
      <w:numFmt w:val="decimal"/>
      <w:suff w:val="space"/>
      <w:lvlText w:val="%1."/>
      <w:lvlJc w:val="left"/>
      <w:pPr>
        <w:ind w:left="0" w:firstLine="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suff w:val="space"/>
      <w:lvlText w:val="%2."/>
      <w:lvlJc w:val="left"/>
      <w:pPr>
        <w:ind w:left="0" w:firstLine="0"/>
      </w:pPr>
      <w:rPr>
        <w:rFonts w:ascii="Times New Roman" w:eastAsia="Times New Roman" w:hAnsi="Times New Roman" w:cs="Times New Roman"/>
        <w:b w:val="0"/>
        <w:bCs w:val="0"/>
        <w:i w:val="0"/>
        <w:iCs w:val="0"/>
        <w:spacing w:val="0"/>
        <w:w w:val="100"/>
        <w:sz w:val="28"/>
        <w:szCs w:val="28"/>
        <w:lang w:val="vi" w:eastAsia="en-US" w:bidi="ar-SA"/>
      </w:rPr>
    </w:lvl>
    <w:lvl w:ilvl="2">
      <w:numFmt w:val="bullet"/>
      <w:lvlText w:val="•"/>
      <w:lvlJc w:val="left"/>
      <w:pPr>
        <w:ind w:left="2231" w:hanging="176"/>
      </w:pPr>
      <w:rPr>
        <w:rFonts w:hint="default"/>
        <w:lang w:val="vi" w:eastAsia="en-US" w:bidi="ar-SA"/>
      </w:rPr>
    </w:lvl>
    <w:lvl w:ilvl="3">
      <w:numFmt w:val="bullet"/>
      <w:lvlText w:val="•"/>
      <w:lvlJc w:val="left"/>
      <w:pPr>
        <w:ind w:left="3203" w:hanging="176"/>
      </w:pPr>
      <w:rPr>
        <w:rFonts w:hint="default"/>
        <w:lang w:val="vi" w:eastAsia="en-US" w:bidi="ar-SA"/>
      </w:rPr>
    </w:lvl>
    <w:lvl w:ilvl="4">
      <w:numFmt w:val="bullet"/>
      <w:lvlText w:val="•"/>
      <w:lvlJc w:val="left"/>
      <w:pPr>
        <w:ind w:left="4175" w:hanging="176"/>
      </w:pPr>
      <w:rPr>
        <w:rFonts w:hint="default"/>
        <w:lang w:val="vi" w:eastAsia="en-US" w:bidi="ar-SA"/>
      </w:rPr>
    </w:lvl>
    <w:lvl w:ilvl="5">
      <w:numFmt w:val="bullet"/>
      <w:lvlText w:val="•"/>
      <w:lvlJc w:val="left"/>
      <w:pPr>
        <w:ind w:left="5147" w:hanging="176"/>
      </w:pPr>
      <w:rPr>
        <w:rFonts w:hint="default"/>
        <w:lang w:val="vi" w:eastAsia="en-US" w:bidi="ar-SA"/>
      </w:rPr>
    </w:lvl>
    <w:lvl w:ilvl="6">
      <w:numFmt w:val="bullet"/>
      <w:lvlText w:val="•"/>
      <w:lvlJc w:val="left"/>
      <w:pPr>
        <w:ind w:left="6119" w:hanging="176"/>
      </w:pPr>
      <w:rPr>
        <w:rFonts w:hint="default"/>
        <w:lang w:val="vi" w:eastAsia="en-US" w:bidi="ar-SA"/>
      </w:rPr>
    </w:lvl>
    <w:lvl w:ilvl="7">
      <w:numFmt w:val="bullet"/>
      <w:lvlText w:val="•"/>
      <w:lvlJc w:val="left"/>
      <w:pPr>
        <w:ind w:left="7090" w:hanging="176"/>
      </w:pPr>
      <w:rPr>
        <w:rFonts w:hint="default"/>
        <w:lang w:val="vi" w:eastAsia="en-US" w:bidi="ar-SA"/>
      </w:rPr>
    </w:lvl>
    <w:lvl w:ilvl="8">
      <w:numFmt w:val="bullet"/>
      <w:lvlText w:val="•"/>
      <w:lvlJc w:val="left"/>
      <w:pPr>
        <w:ind w:left="8062" w:hanging="176"/>
      </w:pPr>
      <w:rPr>
        <w:rFonts w:hint="default"/>
        <w:lang w:val="vi" w:eastAsia="en-US" w:bidi="ar-SA"/>
      </w:rPr>
    </w:lvl>
  </w:abstractNum>
  <w:abstractNum w:abstractNumId="10" w15:restartNumberingAfterBreak="0">
    <w:nsid w:val="46D229BD"/>
    <w:multiLevelType w:val="hybridMultilevel"/>
    <w:tmpl w:val="70200AD0"/>
    <w:lvl w:ilvl="0" w:tplc="73749B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DEE6AF9"/>
    <w:multiLevelType w:val="hybridMultilevel"/>
    <w:tmpl w:val="2D0EF406"/>
    <w:lvl w:ilvl="0" w:tplc="28468B14">
      <w:numFmt w:val="bullet"/>
      <w:lvlText w:val="-"/>
      <w:lvlJc w:val="left"/>
      <w:pPr>
        <w:ind w:left="258" w:hanging="207"/>
      </w:pPr>
      <w:rPr>
        <w:rFonts w:ascii="Times New Roman" w:eastAsia="Times New Roman" w:hAnsi="Times New Roman" w:cs="Times New Roman" w:hint="default"/>
        <w:b w:val="0"/>
        <w:bCs w:val="0"/>
        <w:i w:val="0"/>
        <w:iCs w:val="0"/>
        <w:spacing w:val="0"/>
        <w:w w:val="100"/>
        <w:sz w:val="28"/>
        <w:szCs w:val="28"/>
        <w:lang w:val="vi" w:eastAsia="en-US" w:bidi="ar-SA"/>
      </w:rPr>
    </w:lvl>
    <w:lvl w:ilvl="1" w:tplc="EC007A6C">
      <w:numFmt w:val="bullet"/>
      <w:lvlText w:val="•"/>
      <w:lvlJc w:val="left"/>
      <w:pPr>
        <w:ind w:left="1234" w:hanging="207"/>
      </w:pPr>
      <w:rPr>
        <w:rFonts w:hint="default"/>
        <w:lang w:val="vi" w:eastAsia="en-US" w:bidi="ar-SA"/>
      </w:rPr>
    </w:lvl>
    <w:lvl w:ilvl="2" w:tplc="F9329B84">
      <w:numFmt w:val="bullet"/>
      <w:lvlText w:val="•"/>
      <w:lvlJc w:val="left"/>
      <w:pPr>
        <w:ind w:left="2209" w:hanging="207"/>
      </w:pPr>
      <w:rPr>
        <w:rFonts w:hint="default"/>
        <w:lang w:val="vi" w:eastAsia="en-US" w:bidi="ar-SA"/>
      </w:rPr>
    </w:lvl>
    <w:lvl w:ilvl="3" w:tplc="7F16EAA8">
      <w:numFmt w:val="bullet"/>
      <w:lvlText w:val="•"/>
      <w:lvlJc w:val="left"/>
      <w:pPr>
        <w:ind w:left="3183" w:hanging="207"/>
      </w:pPr>
      <w:rPr>
        <w:rFonts w:hint="default"/>
        <w:lang w:val="vi" w:eastAsia="en-US" w:bidi="ar-SA"/>
      </w:rPr>
    </w:lvl>
    <w:lvl w:ilvl="4" w:tplc="C6DC7DFE">
      <w:numFmt w:val="bullet"/>
      <w:lvlText w:val="•"/>
      <w:lvlJc w:val="left"/>
      <w:pPr>
        <w:ind w:left="4158" w:hanging="207"/>
      </w:pPr>
      <w:rPr>
        <w:rFonts w:hint="default"/>
        <w:lang w:val="vi" w:eastAsia="en-US" w:bidi="ar-SA"/>
      </w:rPr>
    </w:lvl>
    <w:lvl w:ilvl="5" w:tplc="0A32703C">
      <w:numFmt w:val="bullet"/>
      <w:lvlText w:val="•"/>
      <w:lvlJc w:val="left"/>
      <w:pPr>
        <w:ind w:left="5133" w:hanging="207"/>
      </w:pPr>
      <w:rPr>
        <w:rFonts w:hint="default"/>
        <w:lang w:val="vi" w:eastAsia="en-US" w:bidi="ar-SA"/>
      </w:rPr>
    </w:lvl>
    <w:lvl w:ilvl="6" w:tplc="1A3840CC">
      <w:numFmt w:val="bullet"/>
      <w:lvlText w:val="•"/>
      <w:lvlJc w:val="left"/>
      <w:pPr>
        <w:ind w:left="6107" w:hanging="207"/>
      </w:pPr>
      <w:rPr>
        <w:rFonts w:hint="default"/>
        <w:lang w:val="vi" w:eastAsia="en-US" w:bidi="ar-SA"/>
      </w:rPr>
    </w:lvl>
    <w:lvl w:ilvl="7" w:tplc="3F0AD11A">
      <w:numFmt w:val="bullet"/>
      <w:lvlText w:val="•"/>
      <w:lvlJc w:val="left"/>
      <w:pPr>
        <w:ind w:left="7082" w:hanging="207"/>
      </w:pPr>
      <w:rPr>
        <w:rFonts w:hint="default"/>
        <w:lang w:val="vi" w:eastAsia="en-US" w:bidi="ar-SA"/>
      </w:rPr>
    </w:lvl>
    <w:lvl w:ilvl="8" w:tplc="636ED05A">
      <w:numFmt w:val="bullet"/>
      <w:lvlText w:val="•"/>
      <w:lvlJc w:val="left"/>
      <w:pPr>
        <w:ind w:left="8057" w:hanging="207"/>
      </w:pPr>
      <w:rPr>
        <w:rFonts w:hint="default"/>
        <w:lang w:val="vi" w:eastAsia="en-US" w:bidi="ar-SA"/>
      </w:rPr>
    </w:lvl>
  </w:abstractNum>
  <w:abstractNum w:abstractNumId="12" w15:restartNumberingAfterBreak="0">
    <w:nsid w:val="52346186"/>
    <w:multiLevelType w:val="hybridMultilevel"/>
    <w:tmpl w:val="234ECEC4"/>
    <w:lvl w:ilvl="0" w:tplc="F31E522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F82BE92">
      <w:numFmt w:val="bullet"/>
      <w:lvlText w:val="•"/>
      <w:lvlJc w:val="left"/>
      <w:pPr>
        <w:ind w:left="540" w:hanging="128"/>
      </w:pPr>
      <w:rPr>
        <w:rFonts w:hint="default"/>
        <w:lang w:val="vi" w:eastAsia="en-US" w:bidi="ar-SA"/>
      </w:rPr>
    </w:lvl>
    <w:lvl w:ilvl="2" w:tplc="69A2F8E8">
      <w:numFmt w:val="bullet"/>
      <w:lvlText w:val="•"/>
      <w:lvlJc w:val="left"/>
      <w:pPr>
        <w:ind w:left="900" w:hanging="128"/>
      </w:pPr>
      <w:rPr>
        <w:rFonts w:hint="default"/>
        <w:lang w:val="vi" w:eastAsia="en-US" w:bidi="ar-SA"/>
      </w:rPr>
    </w:lvl>
    <w:lvl w:ilvl="3" w:tplc="A6F219F2">
      <w:numFmt w:val="bullet"/>
      <w:lvlText w:val="•"/>
      <w:lvlJc w:val="left"/>
      <w:pPr>
        <w:ind w:left="1260" w:hanging="128"/>
      </w:pPr>
      <w:rPr>
        <w:rFonts w:hint="default"/>
        <w:lang w:val="vi" w:eastAsia="en-US" w:bidi="ar-SA"/>
      </w:rPr>
    </w:lvl>
    <w:lvl w:ilvl="4" w:tplc="B4D84534">
      <w:numFmt w:val="bullet"/>
      <w:lvlText w:val="•"/>
      <w:lvlJc w:val="left"/>
      <w:pPr>
        <w:ind w:left="1620" w:hanging="128"/>
      </w:pPr>
      <w:rPr>
        <w:rFonts w:hint="default"/>
        <w:lang w:val="vi" w:eastAsia="en-US" w:bidi="ar-SA"/>
      </w:rPr>
    </w:lvl>
    <w:lvl w:ilvl="5" w:tplc="5E4AC802">
      <w:numFmt w:val="bullet"/>
      <w:lvlText w:val="•"/>
      <w:lvlJc w:val="left"/>
      <w:pPr>
        <w:ind w:left="1981" w:hanging="128"/>
      </w:pPr>
      <w:rPr>
        <w:rFonts w:hint="default"/>
        <w:lang w:val="vi" w:eastAsia="en-US" w:bidi="ar-SA"/>
      </w:rPr>
    </w:lvl>
    <w:lvl w:ilvl="6" w:tplc="B17424B6">
      <w:numFmt w:val="bullet"/>
      <w:lvlText w:val="•"/>
      <w:lvlJc w:val="left"/>
      <w:pPr>
        <w:ind w:left="2341" w:hanging="128"/>
      </w:pPr>
      <w:rPr>
        <w:rFonts w:hint="default"/>
        <w:lang w:val="vi" w:eastAsia="en-US" w:bidi="ar-SA"/>
      </w:rPr>
    </w:lvl>
    <w:lvl w:ilvl="7" w:tplc="C6960A4A">
      <w:numFmt w:val="bullet"/>
      <w:lvlText w:val="•"/>
      <w:lvlJc w:val="left"/>
      <w:pPr>
        <w:ind w:left="2701" w:hanging="128"/>
      </w:pPr>
      <w:rPr>
        <w:rFonts w:hint="default"/>
        <w:lang w:val="vi" w:eastAsia="en-US" w:bidi="ar-SA"/>
      </w:rPr>
    </w:lvl>
    <w:lvl w:ilvl="8" w:tplc="1E12F1C8">
      <w:numFmt w:val="bullet"/>
      <w:lvlText w:val="•"/>
      <w:lvlJc w:val="left"/>
      <w:pPr>
        <w:ind w:left="3061" w:hanging="128"/>
      </w:pPr>
      <w:rPr>
        <w:rFonts w:hint="default"/>
        <w:lang w:val="vi" w:eastAsia="en-US" w:bidi="ar-SA"/>
      </w:rPr>
    </w:lvl>
  </w:abstractNum>
  <w:abstractNum w:abstractNumId="13" w15:restartNumberingAfterBreak="0">
    <w:nsid w:val="639B75B4"/>
    <w:multiLevelType w:val="multilevel"/>
    <w:tmpl w:val="9DC288C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4C35FA9"/>
    <w:multiLevelType w:val="multilevel"/>
    <w:tmpl w:val="BE30B1DE"/>
    <w:lvl w:ilvl="0">
      <w:start w:val="4"/>
      <w:numFmt w:val="decimal"/>
      <w:suff w:val="space"/>
      <w:lvlText w:val="%1."/>
      <w:lvlJc w:val="left"/>
      <w:pPr>
        <w:ind w:left="710" w:firstLine="0"/>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5" w15:restartNumberingAfterBreak="0">
    <w:nsid w:val="67DD4473"/>
    <w:multiLevelType w:val="hybridMultilevel"/>
    <w:tmpl w:val="4A6C6FFC"/>
    <w:lvl w:ilvl="0" w:tplc="7DF6DB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F053F3"/>
    <w:multiLevelType w:val="multilevel"/>
    <w:tmpl w:val="9C6C4CEC"/>
    <w:lvl w:ilvl="0">
      <w:start w:val="1"/>
      <w:numFmt w:val="decimal"/>
      <w:suff w:val="space"/>
      <w:lvlText w:val="%1."/>
      <w:lvlJc w:val="left"/>
      <w:pPr>
        <w:ind w:left="0" w:firstLine="0"/>
      </w:pPr>
      <w:rPr>
        <w:rFonts w:ascii="Times New Roman" w:eastAsia="Times New Roman" w:hAnsi="Times New Roman" w:cs="Times New Roman" w:hint="default"/>
        <w:b/>
        <w:bCs/>
        <w:i w:val="0"/>
        <w:iCs w:val="0"/>
        <w:spacing w:val="-4"/>
        <w:w w:val="100"/>
        <w:sz w:val="28"/>
        <w:szCs w:val="28"/>
        <w:lang w:val="vi" w:eastAsia="en-US" w:bidi="ar-SA"/>
      </w:rPr>
    </w:lvl>
    <w:lvl w:ilvl="1">
      <w:start w:val="1"/>
      <w:numFmt w:val="decimal"/>
      <w:lvlText w:val="%1.%2."/>
      <w:lvlJc w:val="left"/>
      <w:pPr>
        <w:ind w:left="1667" w:hanging="533"/>
      </w:pPr>
      <w:rPr>
        <w:rFonts w:hint="default"/>
        <w:spacing w:val="0"/>
        <w:w w:val="100"/>
        <w:lang w:val="vi" w:eastAsia="en-US" w:bidi="ar-SA"/>
      </w:rPr>
    </w:lvl>
    <w:lvl w:ilvl="2">
      <w:numFmt w:val="bullet"/>
      <w:suff w:val="space"/>
      <w:lvlText w:val="-"/>
      <w:lvlJc w:val="left"/>
      <w:pPr>
        <w:ind w:left="0" w:firstLine="0"/>
      </w:pPr>
      <w:rPr>
        <w:rFonts w:ascii="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429" w:hanging="533"/>
      </w:pPr>
      <w:rPr>
        <w:rFonts w:hint="default"/>
        <w:lang w:val="vi" w:eastAsia="en-US" w:bidi="ar-SA"/>
      </w:rPr>
    </w:lvl>
    <w:lvl w:ilvl="4">
      <w:numFmt w:val="bullet"/>
      <w:lvlText w:val="•"/>
      <w:lvlJc w:val="left"/>
      <w:pPr>
        <w:ind w:left="3378" w:hanging="533"/>
      </w:pPr>
      <w:rPr>
        <w:rFonts w:hint="default"/>
        <w:lang w:val="vi" w:eastAsia="en-US" w:bidi="ar-SA"/>
      </w:rPr>
    </w:lvl>
    <w:lvl w:ilvl="5">
      <w:numFmt w:val="bullet"/>
      <w:lvlText w:val="•"/>
      <w:lvlJc w:val="left"/>
      <w:pPr>
        <w:ind w:left="4328" w:hanging="533"/>
      </w:pPr>
      <w:rPr>
        <w:rFonts w:hint="default"/>
        <w:lang w:val="vi" w:eastAsia="en-US" w:bidi="ar-SA"/>
      </w:rPr>
    </w:lvl>
    <w:lvl w:ilvl="6">
      <w:numFmt w:val="bullet"/>
      <w:lvlText w:val="•"/>
      <w:lvlJc w:val="left"/>
      <w:pPr>
        <w:ind w:left="5277" w:hanging="533"/>
      </w:pPr>
      <w:rPr>
        <w:rFonts w:hint="default"/>
        <w:lang w:val="vi" w:eastAsia="en-US" w:bidi="ar-SA"/>
      </w:rPr>
    </w:lvl>
    <w:lvl w:ilvl="7">
      <w:numFmt w:val="bullet"/>
      <w:lvlText w:val="•"/>
      <w:lvlJc w:val="left"/>
      <w:pPr>
        <w:ind w:left="6227" w:hanging="533"/>
      </w:pPr>
      <w:rPr>
        <w:rFonts w:hint="default"/>
        <w:lang w:val="vi" w:eastAsia="en-US" w:bidi="ar-SA"/>
      </w:rPr>
    </w:lvl>
    <w:lvl w:ilvl="8">
      <w:numFmt w:val="bullet"/>
      <w:lvlText w:val="•"/>
      <w:lvlJc w:val="left"/>
      <w:pPr>
        <w:ind w:left="7176" w:hanging="533"/>
      </w:pPr>
      <w:rPr>
        <w:rFonts w:hint="default"/>
        <w:lang w:val="vi" w:eastAsia="en-US" w:bidi="ar-SA"/>
      </w:rPr>
    </w:lvl>
  </w:abstractNum>
  <w:abstractNum w:abstractNumId="17" w15:restartNumberingAfterBreak="0">
    <w:nsid w:val="6B7242A7"/>
    <w:multiLevelType w:val="hybridMultilevel"/>
    <w:tmpl w:val="091A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01AB2"/>
    <w:multiLevelType w:val="multilevel"/>
    <w:tmpl w:val="E84E9992"/>
    <w:lvl w:ilvl="0">
      <w:numFmt w:val="bullet"/>
      <w:suff w:val="space"/>
      <w:lvlText w:val="-"/>
      <w:lvlJc w:val="left"/>
      <w:pPr>
        <w:ind w:left="0" w:firstLine="0"/>
      </w:pPr>
      <w:rPr>
        <w:rFonts w:ascii="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34" w:hanging="188"/>
      </w:pPr>
      <w:rPr>
        <w:rFonts w:hint="default"/>
        <w:lang w:val="vi" w:eastAsia="en-US" w:bidi="ar-SA"/>
      </w:rPr>
    </w:lvl>
    <w:lvl w:ilvl="2">
      <w:numFmt w:val="bullet"/>
      <w:lvlText w:val="•"/>
      <w:lvlJc w:val="left"/>
      <w:pPr>
        <w:ind w:left="2209" w:hanging="188"/>
      </w:pPr>
      <w:rPr>
        <w:rFonts w:hint="default"/>
        <w:lang w:val="vi" w:eastAsia="en-US" w:bidi="ar-SA"/>
      </w:rPr>
    </w:lvl>
    <w:lvl w:ilvl="3">
      <w:numFmt w:val="bullet"/>
      <w:lvlText w:val="•"/>
      <w:lvlJc w:val="left"/>
      <w:pPr>
        <w:ind w:left="3183" w:hanging="188"/>
      </w:pPr>
      <w:rPr>
        <w:rFonts w:hint="default"/>
        <w:lang w:val="vi" w:eastAsia="en-US" w:bidi="ar-SA"/>
      </w:rPr>
    </w:lvl>
    <w:lvl w:ilvl="4">
      <w:numFmt w:val="bullet"/>
      <w:lvlText w:val="•"/>
      <w:lvlJc w:val="left"/>
      <w:pPr>
        <w:ind w:left="4158" w:hanging="188"/>
      </w:pPr>
      <w:rPr>
        <w:rFonts w:hint="default"/>
        <w:lang w:val="vi" w:eastAsia="en-US" w:bidi="ar-SA"/>
      </w:rPr>
    </w:lvl>
    <w:lvl w:ilvl="5">
      <w:numFmt w:val="bullet"/>
      <w:lvlText w:val="•"/>
      <w:lvlJc w:val="left"/>
      <w:pPr>
        <w:ind w:left="5133" w:hanging="188"/>
      </w:pPr>
      <w:rPr>
        <w:rFonts w:hint="default"/>
        <w:lang w:val="vi" w:eastAsia="en-US" w:bidi="ar-SA"/>
      </w:rPr>
    </w:lvl>
    <w:lvl w:ilvl="6">
      <w:numFmt w:val="bullet"/>
      <w:lvlText w:val="•"/>
      <w:lvlJc w:val="left"/>
      <w:pPr>
        <w:ind w:left="6107" w:hanging="188"/>
      </w:pPr>
      <w:rPr>
        <w:rFonts w:hint="default"/>
        <w:lang w:val="vi" w:eastAsia="en-US" w:bidi="ar-SA"/>
      </w:rPr>
    </w:lvl>
    <w:lvl w:ilvl="7">
      <w:numFmt w:val="bullet"/>
      <w:lvlText w:val="•"/>
      <w:lvlJc w:val="left"/>
      <w:pPr>
        <w:ind w:left="7082" w:hanging="188"/>
      </w:pPr>
      <w:rPr>
        <w:rFonts w:hint="default"/>
        <w:lang w:val="vi" w:eastAsia="en-US" w:bidi="ar-SA"/>
      </w:rPr>
    </w:lvl>
    <w:lvl w:ilvl="8">
      <w:numFmt w:val="bullet"/>
      <w:lvlText w:val="•"/>
      <w:lvlJc w:val="left"/>
      <w:pPr>
        <w:ind w:left="8057" w:hanging="188"/>
      </w:pPr>
      <w:rPr>
        <w:rFonts w:hint="default"/>
        <w:lang w:val="vi" w:eastAsia="en-US" w:bidi="ar-SA"/>
      </w:rPr>
    </w:lvl>
  </w:abstractNum>
  <w:abstractNum w:abstractNumId="19" w15:restartNumberingAfterBreak="0">
    <w:nsid w:val="716F0EFA"/>
    <w:multiLevelType w:val="hybridMultilevel"/>
    <w:tmpl w:val="0E66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3259A"/>
    <w:multiLevelType w:val="hybridMultilevel"/>
    <w:tmpl w:val="A8682A1C"/>
    <w:lvl w:ilvl="0" w:tplc="816C7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D3C35"/>
    <w:multiLevelType w:val="hybridMultilevel"/>
    <w:tmpl w:val="8B20D12C"/>
    <w:lvl w:ilvl="0" w:tplc="049C0E8C">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A5F7208"/>
    <w:multiLevelType w:val="multilevel"/>
    <w:tmpl w:val="1F58B8B0"/>
    <w:lvl w:ilvl="0">
      <w:start w:val="1"/>
      <w:numFmt w:val="lowerLetter"/>
      <w:suff w:val="space"/>
      <w:lvlText w:val="%1)"/>
      <w:lvlJc w:val="left"/>
      <w:pPr>
        <w:ind w:left="0" w:firstLine="0"/>
      </w:pPr>
      <w:rPr>
        <w:rFonts w:ascii="Times New Roman" w:eastAsia="Times New Roman" w:hAnsi="Times New Roman" w:cs="Times New Roman" w:hint="default"/>
        <w:b/>
        <w:bCs/>
        <w:i/>
        <w:iCs/>
        <w:spacing w:val="0"/>
        <w:w w:val="100"/>
        <w:sz w:val="28"/>
        <w:szCs w:val="28"/>
        <w:lang w:val="vi" w:eastAsia="en-US" w:bidi="ar-SA"/>
      </w:rPr>
    </w:lvl>
    <w:lvl w:ilvl="1">
      <w:numFmt w:val="bullet"/>
      <w:lvlText w:val="•"/>
      <w:lvlJc w:val="left"/>
      <w:pPr>
        <w:ind w:left="2152" w:hanging="305"/>
      </w:pPr>
      <w:rPr>
        <w:rFonts w:hint="default"/>
        <w:lang w:val="vi" w:eastAsia="en-US" w:bidi="ar-SA"/>
      </w:rPr>
    </w:lvl>
    <w:lvl w:ilvl="2">
      <w:numFmt w:val="bullet"/>
      <w:lvlText w:val="•"/>
      <w:lvlJc w:val="left"/>
      <w:pPr>
        <w:ind w:left="3025" w:hanging="305"/>
      </w:pPr>
      <w:rPr>
        <w:rFonts w:hint="default"/>
        <w:lang w:val="vi" w:eastAsia="en-US" w:bidi="ar-SA"/>
      </w:rPr>
    </w:lvl>
    <w:lvl w:ilvl="3">
      <w:numFmt w:val="bullet"/>
      <w:lvlText w:val="•"/>
      <w:lvlJc w:val="left"/>
      <w:pPr>
        <w:ind w:left="3897" w:hanging="305"/>
      </w:pPr>
      <w:rPr>
        <w:rFonts w:hint="default"/>
        <w:lang w:val="vi" w:eastAsia="en-US" w:bidi="ar-SA"/>
      </w:rPr>
    </w:lvl>
    <w:lvl w:ilvl="4">
      <w:numFmt w:val="bullet"/>
      <w:lvlText w:val="•"/>
      <w:lvlJc w:val="left"/>
      <w:pPr>
        <w:ind w:left="4770" w:hanging="305"/>
      </w:pPr>
      <w:rPr>
        <w:rFonts w:hint="default"/>
        <w:lang w:val="vi" w:eastAsia="en-US" w:bidi="ar-SA"/>
      </w:rPr>
    </w:lvl>
    <w:lvl w:ilvl="5">
      <w:numFmt w:val="bullet"/>
      <w:lvlText w:val="•"/>
      <w:lvlJc w:val="left"/>
      <w:pPr>
        <w:ind w:left="5643" w:hanging="305"/>
      </w:pPr>
      <w:rPr>
        <w:rFonts w:hint="default"/>
        <w:lang w:val="vi" w:eastAsia="en-US" w:bidi="ar-SA"/>
      </w:rPr>
    </w:lvl>
    <w:lvl w:ilvl="6">
      <w:numFmt w:val="bullet"/>
      <w:lvlText w:val="•"/>
      <w:lvlJc w:val="left"/>
      <w:pPr>
        <w:ind w:left="6515" w:hanging="305"/>
      </w:pPr>
      <w:rPr>
        <w:rFonts w:hint="default"/>
        <w:lang w:val="vi" w:eastAsia="en-US" w:bidi="ar-SA"/>
      </w:rPr>
    </w:lvl>
    <w:lvl w:ilvl="7">
      <w:numFmt w:val="bullet"/>
      <w:lvlText w:val="•"/>
      <w:lvlJc w:val="left"/>
      <w:pPr>
        <w:ind w:left="7388" w:hanging="305"/>
      </w:pPr>
      <w:rPr>
        <w:rFonts w:hint="default"/>
        <w:lang w:val="vi" w:eastAsia="en-US" w:bidi="ar-SA"/>
      </w:rPr>
    </w:lvl>
    <w:lvl w:ilvl="8">
      <w:numFmt w:val="bullet"/>
      <w:lvlText w:val="•"/>
      <w:lvlJc w:val="left"/>
      <w:pPr>
        <w:ind w:left="8261" w:hanging="305"/>
      </w:pPr>
      <w:rPr>
        <w:rFonts w:hint="default"/>
        <w:lang w:val="vi" w:eastAsia="en-US" w:bidi="ar-SA"/>
      </w:rPr>
    </w:lvl>
  </w:abstractNum>
  <w:abstractNum w:abstractNumId="23" w15:restartNumberingAfterBreak="0">
    <w:nsid w:val="7EBC5106"/>
    <w:multiLevelType w:val="hybridMultilevel"/>
    <w:tmpl w:val="289E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973514">
    <w:abstractNumId w:val="12"/>
  </w:num>
  <w:num w:numId="2" w16cid:durableId="1423645519">
    <w:abstractNumId w:val="9"/>
  </w:num>
  <w:num w:numId="3" w16cid:durableId="783038480">
    <w:abstractNumId w:val="8"/>
  </w:num>
  <w:num w:numId="4" w16cid:durableId="1412846100">
    <w:abstractNumId w:val="22"/>
  </w:num>
  <w:num w:numId="5" w16cid:durableId="1479110903">
    <w:abstractNumId w:val="11"/>
  </w:num>
  <w:num w:numId="6" w16cid:durableId="520630349">
    <w:abstractNumId w:val="18"/>
  </w:num>
  <w:num w:numId="7" w16cid:durableId="833649910">
    <w:abstractNumId w:val="6"/>
  </w:num>
  <w:num w:numId="8" w16cid:durableId="82457007">
    <w:abstractNumId w:val="7"/>
  </w:num>
  <w:num w:numId="9" w16cid:durableId="2035573964">
    <w:abstractNumId w:val="16"/>
  </w:num>
  <w:num w:numId="10" w16cid:durableId="1914972043">
    <w:abstractNumId w:val="5"/>
  </w:num>
  <w:num w:numId="11" w16cid:durableId="1476558636">
    <w:abstractNumId w:val="14"/>
  </w:num>
  <w:num w:numId="12" w16cid:durableId="1930389829">
    <w:abstractNumId w:val="0"/>
  </w:num>
  <w:num w:numId="13" w16cid:durableId="906495731">
    <w:abstractNumId w:val="4"/>
  </w:num>
  <w:num w:numId="14" w16cid:durableId="155154362">
    <w:abstractNumId w:val="15"/>
  </w:num>
  <w:num w:numId="15" w16cid:durableId="991372922">
    <w:abstractNumId w:val="3"/>
  </w:num>
  <w:num w:numId="16" w16cid:durableId="1715235324">
    <w:abstractNumId w:val="13"/>
  </w:num>
  <w:num w:numId="17" w16cid:durableId="585724911">
    <w:abstractNumId w:val="2"/>
  </w:num>
  <w:num w:numId="18" w16cid:durableId="1218935875">
    <w:abstractNumId w:val="19"/>
  </w:num>
  <w:num w:numId="19" w16cid:durableId="784080790">
    <w:abstractNumId w:val="10"/>
  </w:num>
  <w:num w:numId="20" w16cid:durableId="1428425551">
    <w:abstractNumId w:val="23"/>
  </w:num>
  <w:num w:numId="21" w16cid:durableId="1560820643">
    <w:abstractNumId w:val="17"/>
  </w:num>
  <w:num w:numId="22" w16cid:durableId="1086223831">
    <w:abstractNumId w:val="1"/>
  </w:num>
  <w:num w:numId="23" w16cid:durableId="647631478">
    <w:abstractNumId w:val="21"/>
  </w:num>
  <w:num w:numId="24" w16cid:durableId="2086225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F8E66-7944-4361-9C8A-7B1CA202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19"/>
      <w:ind w:left="1258" w:hanging="280"/>
      <w:jc w:val="both"/>
      <w:outlineLvl w:val="0"/>
    </w:pPr>
    <w:rPr>
      <w:b/>
      <w:bCs/>
      <w:sz w:val="28"/>
      <w:szCs w:val="28"/>
    </w:rPr>
  </w:style>
  <w:style w:type="paragraph" w:styleId="Heading2">
    <w:name w:val="heading 2"/>
    <w:basedOn w:val="Normal"/>
    <w:uiPriority w:val="9"/>
    <w:unhideWhenUsed/>
    <w:qFormat/>
    <w:pPr>
      <w:spacing w:before="119"/>
      <w:ind w:left="258" w:hanging="304"/>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58" w:firstLine="719"/>
      <w:jc w:val="both"/>
    </w:pPr>
    <w:rPr>
      <w:sz w:val="28"/>
      <w:szCs w:val="28"/>
    </w:rPr>
  </w:style>
  <w:style w:type="paragraph" w:styleId="ListParagraph">
    <w:name w:val="List Paragraph"/>
    <w:basedOn w:val="Normal"/>
    <w:uiPriority w:val="1"/>
    <w:qFormat/>
    <w:pPr>
      <w:spacing w:before="120"/>
      <w:ind w:left="258"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Char"/>
    <w:uiPriority w:val="99"/>
    <w:qFormat/>
    <w:rPr>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single space,footnote text,FOOTNOTES,f , Char9,Char9"/>
    <w:basedOn w:val="Normal"/>
    <w:link w:val="FootnoteTextChar"/>
    <w:uiPriority w:val="99"/>
    <w:qFormat/>
    <w:pPr>
      <w:widowControl/>
      <w:autoSpaceDE/>
      <w:autoSpaceDN/>
    </w:pPr>
    <w:rPr>
      <w:rFonts w:eastAsia="Calibri"/>
      <w:color w:val="000000"/>
      <w:kern w:val="36"/>
      <w:sz w:val="20"/>
      <w:szCs w:val="20"/>
      <w:lang w:val="en-US"/>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single space Char"/>
    <w:basedOn w:val="DefaultParagraphFont"/>
    <w:link w:val="FootnoteText"/>
    <w:uiPriority w:val="99"/>
    <w:rPr>
      <w:rFonts w:ascii="Times New Roman" w:eastAsia="Calibri" w:hAnsi="Times New Roman" w:cs="Times New Roman"/>
      <w:color w:val="000000"/>
      <w:kern w:val="36"/>
      <w:sz w:val="20"/>
      <w:szCs w:val="20"/>
    </w:rPr>
  </w:style>
  <w:style w:type="paragraph" w:customStyle="1" w:styleId="NormalJustified">
    <w:name w:val="Normal + Justified"/>
    <w:aliases w:val="Left:  0 cm,First line:  1,25 cm,Before:  3 pt,First line:  1 cm,Before:  12 pt,Line spacing:  Exactly..."/>
    <w:basedOn w:val="Normal"/>
    <w:pPr>
      <w:widowControl/>
      <w:autoSpaceDE/>
      <w:autoSpaceDN/>
      <w:spacing w:before="60"/>
      <w:ind w:left="2" w:firstLine="707"/>
      <w:jc w:val="both"/>
    </w:pPr>
    <w:rPr>
      <w:sz w:val="28"/>
      <w:szCs w:val="28"/>
      <w:lang w:val="en-US"/>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f1 Char,1 Char Char"/>
    <w:basedOn w:val="Normal"/>
    <w:link w:val="FootnoteReference"/>
    <w:uiPriority w:val="99"/>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basedOn w:val="DefaultParagraphFont"/>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customStyle="1" w:styleId="CharChar2">
    <w:name w:val="Char Char2"/>
    <w:basedOn w:val="Normal"/>
    <w:next w:val="Normal"/>
    <w:autoRedefine/>
    <w:semiHidden/>
    <w:pPr>
      <w:widowControl/>
      <w:autoSpaceDE/>
      <w:autoSpaceDN/>
      <w:spacing w:before="120" w:after="120" w:line="312" w:lineRule="auto"/>
    </w:pPr>
    <w:rPr>
      <w:sz w:val="28"/>
      <w:szCs w:val="28"/>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45370">
      <w:bodyDiv w:val="1"/>
      <w:marLeft w:val="0"/>
      <w:marRight w:val="0"/>
      <w:marTop w:val="0"/>
      <w:marBottom w:val="0"/>
      <w:divBdr>
        <w:top w:val="none" w:sz="0" w:space="0" w:color="auto"/>
        <w:left w:val="none" w:sz="0" w:space="0" w:color="auto"/>
        <w:bottom w:val="none" w:sz="0" w:space="0" w:color="auto"/>
        <w:right w:val="none" w:sz="0" w:space="0" w:color="auto"/>
      </w:divBdr>
    </w:div>
    <w:div w:id="1423641421">
      <w:bodyDiv w:val="1"/>
      <w:marLeft w:val="0"/>
      <w:marRight w:val="0"/>
      <w:marTop w:val="0"/>
      <w:marBottom w:val="0"/>
      <w:divBdr>
        <w:top w:val="none" w:sz="0" w:space="0" w:color="auto"/>
        <w:left w:val="none" w:sz="0" w:space="0" w:color="auto"/>
        <w:bottom w:val="none" w:sz="0" w:space="0" w:color="auto"/>
        <w:right w:val="none" w:sz="0" w:space="0" w:color="auto"/>
      </w:divBdr>
    </w:div>
    <w:div w:id="1453985522">
      <w:bodyDiv w:val="1"/>
      <w:marLeft w:val="0"/>
      <w:marRight w:val="0"/>
      <w:marTop w:val="0"/>
      <w:marBottom w:val="0"/>
      <w:divBdr>
        <w:top w:val="none" w:sz="0" w:space="0" w:color="auto"/>
        <w:left w:val="none" w:sz="0" w:space="0" w:color="auto"/>
        <w:bottom w:val="none" w:sz="0" w:space="0" w:color="auto"/>
        <w:right w:val="none" w:sz="0" w:space="0" w:color="auto"/>
      </w:divBdr>
    </w:div>
    <w:div w:id="176384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AD3AD70-0460-4233-92EA-B0515B63F462}">
  <ds:schemaRefs>
    <ds:schemaRef ds:uri="http://schemas.openxmlformats.org/officeDocument/2006/bibliography"/>
  </ds:schemaRefs>
</ds:datastoreItem>
</file>

<file path=customXml/itemProps2.xml><?xml version="1.0" encoding="utf-8"?>
<ds:datastoreItem xmlns:ds="http://schemas.openxmlformats.org/officeDocument/2006/customXml" ds:itemID="{FAA6F878-9770-4517-95B1-B5CBC75D50EF}"/>
</file>

<file path=customXml/itemProps3.xml><?xml version="1.0" encoding="utf-8"?>
<ds:datastoreItem xmlns:ds="http://schemas.openxmlformats.org/officeDocument/2006/customXml" ds:itemID="{B33F512B-E8B7-435F-887A-5E3C0CCAD5F3}"/>
</file>

<file path=customXml/itemProps4.xml><?xml version="1.0" encoding="utf-8"?>
<ds:datastoreItem xmlns:ds="http://schemas.openxmlformats.org/officeDocument/2006/customXml" ds:itemID="{5D7EA6C5-A91B-449B-AA69-B018EAC4B3D2}"/>
</file>

<file path=docProps/app.xml><?xml version="1.0" encoding="utf-8"?>
<Properties xmlns="http://schemas.openxmlformats.org/officeDocument/2006/extended-properties" xmlns:vt="http://schemas.openxmlformats.org/officeDocument/2006/docPropsVTypes">
  <Template>Normal.dotm</Template>
  <TotalTime>216</TotalTime>
  <Pages>10</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27</cp:revision>
  <cp:lastPrinted>2024-06-26T00:41:00Z</cp:lastPrinted>
  <dcterms:created xsi:type="dcterms:W3CDTF">2024-11-15T09:53:00Z</dcterms:created>
  <dcterms:modified xsi:type="dcterms:W3CDTF">2024-11-25T07:39:00Z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2019</vt:lpwstr>
  </property>
  <property fmtid="{D5CDD505-2E9C-101B-9397-08002B2CF9AE}" pid="4" name="LastSaved">
    <vt:filetime>2024-03-04T00:00:00Z</vt:filetime>
  </property>
  <property fmtid="{D5CDD505-2E9C-101B-9397-08002B2CF9AE}" pid="5" name="Producer">
    <vt:lpwstr>Microsoft® Word 2019; modified using iTextSharp™ 5.5.5 ©2000-2014 iText Group NV (AGPL-version)</vt:lpwstr>
  </property>
  <property fmtid="{D5CDD505-2E9C-101B-9397-08002B2CF9AE}" pid="6" name="ContentTypeId">
    <vt:lpwstr>0x010100ED1B0092FDC0654A8FA7FDA17DC04488</vt:lpwstr>
  </property>
</Properties>
</file>